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28"/>
          <w:szCs w:val="30"/>
          <w:highlight w:val="none"/>
          <w:lang w:eastAsia="zh-CN"/>
        </w:rPr>
      </w:pPr>
      <w:r>
        <w:rPr>
          <w:rFonts w:asciiTheme="majorBidi" w:hAnsiTheme="majorBidi" w:eastAsiaTheme="minorEastAsia" w:cstheme="majorBidi"/>
        </w:rPr>
        <mc:AlternateContent>
          <mc:Choice Requires="wps">
            <w:drawing>
              <wp:anchor distT="0" distB="0" distL="114300" distR="114300" simplePos="0" relativeHeight="251658240" behindDoc="0" locked="0" layoutInCell="1" allowOverlap="1">
                <wp:simplePos x="0" y="0"/>
                <wp:positionH relativeFrom="page">
                  <wp:posOffset>524510</wp:posOffset>
                </wp:positionH>
                <wp:positionV relativeFrom="page">
                  <wp:posOffset>343535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27.05pt;height:22.1pt;width:207.5pt;mso-position-horizontal-relative:page;mso-position-vertical-relative:page;z-index:251658240;mso-width-relative:page;mso-height-relative:page;" fillcolor="#FFFFFF" filled="t" stroked="f" coordsize="21600,21600" o:gfxdata="UEsDBAoAAAAAAIdO4kAAAAAAAAAAAAAAAAAEAAAAZHJzL1BLAwQUAAAACACHTuJAZUng1dUAAAAI&#10;AQAADwAAAGRycy9kb3ducmV2LnhtbE2PzU7DMBCE70i8g7VI3KiTEkoa4vSAxBWJtvTsxkscYa8j&#10;2/19epYTHGdnNPNtuzp7J44Y0xhIQTkrQCD1wYw0KNhu3h5qEClrMtoFQgUXTLDqbm9a3Zhwog88&#10;rvMguIRSoxXYnKdGytRb9DrNwoTE3leIXmeWcZAm6hOXeyfnRbGQXo/EC1ZP+Gqx/14fvILd4K+7&#10;z3KK1nhX0fv1stmGUan7u7J4AZHxnP/C8IvP6NAx0z4cyCThFNTzBScVPFUlCPar5TMf9gqW9SPI&#10;rpX/H+h+AFBLAwQUAAAACACHTuJAeMSkIkUCAABZBAAADgAAAGRycy9lMm9Eb2MueG1srVTNjtow&#10;EL5X6jtYvpeEQFgWEVaUFVWlVXclWvVsHIdEcjyubUjoA7RvsKdeeu9z8RwdO2GX/pyq5uDMeL7M&#10;zzczmd+0tSQHYWwFKqPDQUyJUBzySu0y+uH9+tWUEuuYypkEJTJ6FJbeLF6+mDd6JhIoQebCEHSi&#10;7KzRGS2d07MosrwUNbMD0EKhsQBTM4eq2UW5YQ16r2WUxPEkasDk2gAX1uLtbWeki+C/KAR390Vh&#10;hSMyo5ibC6cJ59af0WLOZjvDdFnxPg32D1nUrFIY9MnVLXOM7E31h6u64gYsFG7AoY6gKCouQg1Y&#10;zTD+rZpNybQItSA5Vj/RZP+fW/7u8GBIlWPvKFGsxhadHr+evv04ff9Chp6eRtsZojYaca59Da2H&#10;9vcWL33VbWFq/8Z6CNrTcTyappQcMzpKr8fDnmbROsLRnExGaZJiNzgCkmk8uQqA6NmPNta9EVAT&#10;L2TUYBsDu+xwZx3GRugZ4sNakFW+rqQMitltV9KQA8OWr8Pj08VPfoFJRZqMYiZx8KzAf9/hpPJ+&#10;RJiePp4noSvWS67dtj0DW8iPSIyBbrKs5usKc75j1j0wg6OEZeJ6uHs8CgkYEnqJkhLM57/dezx2&#10;GK2UNDiaGbWf9swISuRbhb2/Ho7HfpaDMk6vElTMpWV7aVH7egVIBfYXswuixzt5FgsD9UfcoqWP&#10;iiamOMbOqDuLK9ctDG4hF8tlAOH0aubu1EZz79oTpmC5d1BUoUGepo4bpN4rOL+hCf2u+QW51APq&#10;+Y+w+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SeDV1QAAAAgBAAAPAAAAAAAAAAEAIAAAACIA&#10;AABkcnMvZG93bnJldi54bWxQSwECFAAUAAAACACHTuJAeMSkIkUCAABZBAAADgAAAAAAAAABACAA&#10;AAAkAQAAZHJzL2Uyb0RvYy54bWxQSwUGAAAAAAYABgBZAQAA2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highlight w:val="none"/>
        </w:rPr>
        <w:t>【新闻与国际</w:t>
      </w:r>
      <w:r>
        <w:rPr>
          <w:rFonts w:hint="eastAsia"/>
          <w:b/>
          <w:sz w:val="28"/>
          <w:szCs w:val="30"/>
          <w:highlight w:val="none"/>
          <w:lang w:eastAsia="zh-CN"/>
        </w:rPr>
        <w:t>政治</w:t>
      </w:r>
      <w:r>
        <w:rPr>
          <w:rFonts w:hint="eastAsia"/>
          <w:b/>
          <w:sz w:val="28"/>
          <w:szCs w:val="30"/>
          <w:highlight w:val="none"/>
        </w:rPr>
        <w:t>经济】</w:t>
      </w:r>
    </w:p>
    <w:p>
      <w:pPr>
        <w:spacing w:line="360" w:lineRule="auto"/>
        <w:jc w:val="center"/>
        <w:rPr>
          <w:rFonts w:ascii="Arial" w:hAnsi="Arial" w:cs="Arial"/>
          <w:color w:val="888888"/>
          <w:kern w:val="0"/>
          <w:sz w:val="20"/>
          <w:szCs w:val="20"/>
          <w:highlight w:val="none"/>
        </w:rPr>
      </w:pPr>
      <w:r>
        <w:rPr>
          <w:rFonts w:hint="eastAsia"/>
          <w:b/>
          <w:sz w:val="28"/>
          <w:szCs w:val="30"/>
          <w:highlight w:val="none"/>
        </w:rPr>
        <w:t>【News</w:t>
      </w:r>
      <w:r>
        <w:rPr>
          <w:rFonts w:hint="eastAsia"/>
          <w:b/>
          <w:sz w:val="28"/>
          <w:szCs w:val="30"/>
          <w:highlight w:val="none"/>
          <w:lang w:val="en-US" w:eastAsia="zh-CN"/>
        </w:rPr>
        <w:t xml:space="preserve"> and</w:t>
      </w:r>
      <w:r>
        <w:rPr>
          <w:rFonts w:hint="eastAsia"/>
          <w:b/>
          <w:sz w:val="28"/>
          <w:szCs w:val="30"/>
          <w:highlight w:val="none"/>
        </w:rPr>
        <w:t xml:space="preserve"> </w:t>
      </w:r>
      <w:r>
        <w:rPr>
          <w:rFonts w:hint="eastAsia"/>
          <w:b/>
          <w:sz w:val="28"/>
          <w:szCs w:val="30"/>
          <w:highlight w:val="none"/>
          <w:lang w:val="en-US" w:eastAsia="zh-CN"/>
        </w:rPr>
        <w:t>i</w:t>
      </w:r>
      <w:r>
        <w:rPr>
          <w:rFonts w:hint="eastAsia"/>
          <w:b/>
          <w:sz w:val="28"/>
          <w:szCs w:val="30"/>
          <w:highlight w:val="none"/>
        </w:rPr>
        <w:t>nternational political economy】</w:t>
      </w:r>
      <w:bookmarkStart w:id="0" w:name="a2"/>
      <w:bookmarkEnd w:id="0"/>
    </w:p>
    <w:p>
      <w:pPr>
        <w:spacing w:before="156" w:beforeLines="50" w:after="156" w:afterLines="50" w:line="360" w:lineRule="auto"/>
        <w:ind w:firstLine="361" w:firstLineChars="150"/>
        <w:rPr>
          <w:rFonts w:hint="eastAsia" w:asciiTheme="minorEastAsia" w:hAnsiTheme="minorEastAsia" w:eastAsiaTheme="minorEastAsia" w:cstheme="minorEastAsia"/>
          <w:b/>
          <w:bCs/>
          <w:color w:val="008080"/>
          <w:sz w:val="24"/>
          <w:szCs w:val="24"/>
          <w:highlight w:val="none"/>
        </w:rPr>
      </w:pPr>
      <w:r>
        <w:rPr>
          <w:rFonts w:hint="eastAsia" w:asciiTheme="minorEastAsia" w:hAnsiTheme="minorEastAsia" w:eastAsiaTheme="minorEastAsia" w:cstheme="minorEastAsia"/>
          <w:b/>
          <w:bCs/>
          <w:sz w:val="24"/>
          <w:szCs w:val="24"/>
          <w:highlight w:val="none"/>
        </w:rPr>
        <w:t>一、基本信息（必填项）</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课程代码：</w:t>
      </w:r>
      <w:r>
        <w:rPr>
          <w:rFonts w:hint="eastAsia" w:asciiTheme="minorEastAsia" w:hAnsiTheme="minorEastAsia" w:eastAsiaTheme="minorEastAsia" w:cstheme="minorEastAsia"/>
          <w:b w:val="0"/>
          <w:bCs w:val="0"/>
          <w:color w:val="000000"/>
          <w:sz w:val="21"/>
          <w:szCs w:val="21"/>
          <w:highlight w:val="none"/>
        </w:rPr>
        <w:t>【2030</w:t>
      </w:r>
      <w:r>
        <w:rPr>
          <w:rFonts w:hint="eastAsia" w:asciiTheme="minorEastAsia" w:hAnsiTheme="minorEastAsia" w:eastAsiaTheme="minorEastAsia" w:cstheme="minorEastAsia"/>
          <w:b w:val="0"/>
          <w:bCs w:val="0"/>
          <w:color w:val="000000"/>
          <w:sz w:val="21"/>
          <w:szCs w:val="21"/>
          <w:highlight w:val="none"/>
          <w:lang w:val="en-US" w:eastAsia="zh-CN"/>
        </w:rPr>
        <w:t>404</w:t>
      </w:r>
      <w:r>
        <w:rPr>
          <w:rFonts w:hint="eastAsia" w:asciiTheme="minorEastAsia" w:hAnsiTheme="minorEastAsia" w:eastAsiaTheme="minorEastAsia" w:cstheme="minorEastAsia"/>
          <w:b w:val="0"/>
          <w:bCs w:val="0"/>
          <w:color w:val="000000"/>
          <w:sz w:val="21"/>
          <w:szCs w:val="21"/>
          <w:highlight w:val="none"/>
        </w:rPr>
        <w:t>】</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课程学分：</w:t>
      </w:r>
      <w:r>
        <w:rPr>
          <w:rFonts w:hint="eastAsia" w:asciiTheme="minorEastAsia" w:hAnsiTheme="minorEastAsia" w:eastAsiaTheme="minorEastAsia" w:cstheme="minorEastAsia"/>
          <w:b w:val="0"/>
          <w:bCs w:val="0"/>
          <w:color w:val="000000"/>
          <w:sz w:val="21"/>
          <w:szCs w:val="21"/>
          <w:highlight w:val="none"/>
        </w:rPr>
        <w:t>【2.0】</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面向专业：</w:t>
      </w:r>
      <w:r>
        <w:rPr>
          <w:rFonts w:hint="eastAsia" w:asciiTheme="minorEastAsia" w:hAnsiTheme="minorEastAsia" w:eastAsiaTheme="minorEastAsia" w:cstheme="minorEastAsia"/>
          <w:b w:val="0"/>
          <w:bCs w:val="0"/>
          <w:color w:val="000000"/>
          <w:sz w:val="21"/>
          <w:szCs w:val="21"/>
          <w:highlight w:val="none"/>
        </w:rPr>
        <w:t>【新闻学B18-1 新闻学B18-2】</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rPr>
        <w:t>课程性质：</w:t>
      </w:r>
      <w:r>
        <w:rPr>
          <w:rFonts w:hint="eastAsia" w:asciiTheme="minorEastAsia" w:hAnsiTheme="minorEastAsia" w:eastAsiaTheme="minorEastAsia" w:cstheme="minorEastAsia"/>
          <w:b w:val="0"/>
          <w:bCs w:val="0"/>
          <w:color w:val="000000"/>
          <w:sz w:val="21"/>
          <w:szCs w:val="21"/>
          <w:highlight w:val="none"/>
        </w:rPr>
        <w:t>【院级必修课】</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开课院系：</w:t>
      </w:r>
      <w:r>
        <w:rPr>
          <w:rFonts w:hint="eastAsia" w:asciiTheme="minorEastAsia" w:hAnsiTheme="minorEastAsia" w:eastAsiaTheme="minorEastAsia" w:cstheme="minorEastAsia"/>
          <w:b w:val="0"/>
          <w:bCs w:val="0"/>
          <w:color w:val="000000"/>
          <w:sz w:val="21"/>
          <w:szCs w:val="21"/>
          <w:highlight w:val="none"/>
        </w:rPr>
        <w:t>【新闻传播学院】</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 xml:space="preserve">使用教材： </w:t>
      </w:r>
      <w:r>
        <w:rPr>
          <w:rFonts w:hint="eastAsia" w:asciiTheme="minorEastAsia" w:hAnsiTheme="minorEastAsia" w:eastAsiaTheme="minorEastAsia" w:cstheme="minorEastAsia"/>
          <w:b w:val="0"/>
          <w:bCs w:val="0"/>
          <w:color w:val="000000"/>
          <w:sz w:val="21"/>
          <w:szCs w:val="21"/>
          <w:highlight w:val="none"/>
        </w:rPr>
        <w:t>【《国际政治经济学概论(第二版)》（第二版）宋新宁 田野</w:t>
      </w:r>
      <w:r>
        <w:rPr>
          <w:rFonts w:hint="eastAsia" w:asciiTheme="minorEastAsia" w:hAnsiTheme="minorEastAsia" w:eastAsiaTheme="minorEastAsia" w:cstheme="minorEastAsia"/>
          <w:b w:val="0"/>
          <w:bCs w:val="0"/>
          <w:color w:val="000000"/>
          <w:sz w:val="21"/>
          <w:szCs w:val="21"/>
          <w:highlight w:val="none"/>
          <w:lang w:eastAsia="zh-CN"/>
        </w:rPr>
        <w:t>编著</w:t>
      </w:r>
      <w:r>
        <w:rPr>
          <w:rFonts w:hint="eastAsia" w:asciiTheme="minorEastAsia" w:hAnsiTheme="minorEastAsia" w:eastAsiaTheme="minorEastAsia" w:cstheme="minorEastAsia"/>
          <w:b w:val="0"/>
          <w:bCs w:val="0"/>
          <w:color w:val="000000"/>
          <w:sz w:val="21"/>
          <w:szCs w:val="21"/>
          <w:highlight w:val="none"/>
        </w:rPr>
        <w:t>，中国人民大学出版社，2016年】</w:t>
      </w:r>
    </w:p>
    <w:p>
      <w:pPr>
        <w:snapToGrid w:val="0"/>
        <w:spacing w:line="360" w:lineRule="auto"/>
        <w:ind w:firstLine="413" w:firstLineChars="196"/>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rPr>
        <w:t>参考书目：</w:t>
      </w:r>
      <w:r>
        <w:rPr>
          <w:rFonts w:hint="eastAsia" w:asciiTheme="minorEastAsia" w:hAnsiTheme="minorEastAsia" w:eastAsiaTheme="minorEastAsia" w:cstheme="minorEastAsia"/>
          <w:color w:val="000000"/>
          <w:sz w:val="21"/>
          <w:szCs w:val="21"/>
          <w:highlight w:val="none"/>
        </w:rPr>
        <w:t>【《世界知识》杂志（世界知识出版社）、人民日报等国内主流报纸网络版、中央电视台的国际报道与国际专题节目、上海新闻观察网、观察者网的国际报道】</w:t>
      </w:r>
    </w:p>
    <w:p>
      <w:pPr>
        <w:snapToGrid w:val="0"/>
        <w:spacing w:line="360" w:lineRule="auto"/>
        <w:ind w:firstLine="413" w:firstLineChars="196"/>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课程网站网址：</w:t>
      </w:r>
    </w:p>
    <w:p>
      <w:pPr>
        <w:snapToGrid w:val="0"/>
        <w:spacing w:line="360" w:lineRule="auto"/>
        <w:ind w:firstLine="411" w:firstLineChars="196"/>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rPr>
        <w:t>https://elearning.gench.edu.cn:8443/webapps/discussionboard/do/conference?toggle_mode=edit&amp;action=list_forums&amp;course_id=_28283_1&amp;nav=discussion_board_entry&amp;mode=cpview</w:t>
      </w:r>
    </w:p>
    <w:p>
      <w:pPr>
        <w:adjustRightInd w:val="0"/>
        <w:snapToGrid w:val="0"/>
        <w:spacing w:line="360" w:lineRule="auto"/>
        <w:ind w:firstLine="413" w:firstLineChars="196"/>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先修课程：</w:t>
      </w:r>
      <w:r>
        <w:rPr>
          <w:rFonts w:hint="eastAsia" w:asciiTheme="minorEastAsia" w:hAnsiTheme="minorEastAsia" w:eastAsiaTheme="minorEastAsia" w:cstheme="minorEastAsia"/>
          <w:color w:val="000000"/>
          <w:sz w:val="21"/>
          <w:szCs w:val="21"/>
          <w:highlight w:val="none"/>
        </w:rPr>
        <w:t>【世界现当代史、世界地理、政治经济学】</w:t>
      </w:r>
    </w:p>
    <w:p>
      <w:pPr>
        <w:adjustRightInd w:val="0"/>
        <w:snapToGrid w:val="0"/>
        <w:spacing w:line="360" w:lineRule="auto"/>
        <w:ind w:firstLine="470" w:firstLineChars="196"/>
        <w:rPr>
          <w:rFonts w:hint="eastAsia" w:asciiTheme="minorEastAsia" w:hAnsiTheme="minorEastAsia" w:eastAsiaTheme="minorEastAsia" w:cstheme="minorEastAsia"/>
          <w:color w:val="000000"/>
          <w:sz w:val="24"/>
          <w:szCs w:val="24"/>
          <w:highlight w:val="none"/>
        </w:rPr>
      </w:pPr>
    </w:p>
    <w:p>
      <w:pPr>
        <w:adjustRightInd w:val="0"/>
        <w:snapToGrid w:val="0"/>
        <w:spacing w:line="360" w:lineRule="auto"/>
        <w:ind w:firstLine="472" w:firstLineChars="196"/>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sz w:val="24"/>
          <w:szCs w:val="24"/>
          <w:highlight w:val="none"/>
        </w:rPr>
        <w:t>二、课程简介（必填项）</w:t>
      </w:r>
    </w:p>
    <w:p>
      <w:pPr>
        <w:snapToGrid w:val="0"/>
        <w:spacing w:line="360" w:lineRule="auto"/>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本课程对非国际政治专业的学生而言，需要了解的只是当代主要的国际政治与世界经济问题现实状况，掌握一些国际政治世界经济方面的基本理论。这样的国际政治与世界经济课程，大致上与联合国教科文组织提出的“国际理解教育”（Education for International Understanding）的理念相符合：以促进国际理解为目的，培养具有国际理解品性和能力的人，促使个民族文化之间相互尊重、相互理解，共同发展。培养青少年学习正确分析和预见别国政治、经济发展状况及其对本国发展的影响；正确认识和处理经济竞争与合作、生态环境、多元文化共存、和平与发展等方面的国际问题；培养他们善良、无私、公正、民主、聪颖、热爱和平、关心人类共同发展的情操。</w:t>
      </w:r>
    </w:p>
    <w:p>
      <w:pPr>
        <w:snapToGrid w:val="0"/>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本课程跨越政治学、经济学和国际关系研究领域的边缘和交叉研究方法，注重政治和经济相结合，在教学上旨在通过对国际政治经济体系的形成与演化的介绍，使学生掌握国际政治经济学的基本理论与分析框架，明晰在全球经济日益一体化的今天，政治与经济、国家与市场、权力与财富之间的关系。本课程提倡综合视角和使用多元方法的研究特色，注重分析性和描述性相结合；同时注重从国际关系中的现实问题出发，注重基础理论与现实问题相结合，培养既懂政治又明经济的复合型人才</w:t>
      </w:r>
      <w:r>
        <w:rPr>
          <w:rFonts w:hint="eastAsia" w:asciiTheme="minorEastAsia" w:hAnsiTheme="minorEastAsia" w:eastAsiaTheme="minorEastAsia" w:cstheme="minorEastAsia"/>
          <w:sz w:val="21"/>
          <w:szCs w:val="21"/>
          <w:highlight w:val="none"/>
          <w:lang w:eastAsia="zh-CN"/>
        </w:rPr>
        <w:t>。</w:t>
      </w:r>
    </w:p>
    <w:p>
      <w:pPr>
        <w:snapToGrid w:val="0"/>
        <w:spacing w:line="360" w:lineRule="auto"/>
        <w:ind w:firstLine="420" w:firstLineChars="200"/>
        <w:rPr>
          <w:rFonts w:hint="eastAsia" w:asciiTheme="minorEastAsia" w:hAnsiTheme="minorEastAsia" w:eastAsiaTheme="minorEastAsia" w:cstheme="minorEastAsia"/>
          <w:sz w:val="21"/>
          <w:szCs w:val="21"/>
          <w:highlight w:val="none"/>
          <w:lang w:eastAsia="zh-CN"/>
        </w:rPr>
      </w:pPr>
    </w:p>
    <w:p>
      <w:pPr>
        <w:snapToGrid w:val="0"/>
        <w:spacing w:line="360" w:lineRule="auto"/>
        <w:ind w:firstLine="482" w:firstLineChars="200"/>
        <w:rPr>
          <w:rFonts w:hint="eastAsia" w:asciiTheme="minorEastAsia" w:hAnsiTheme="minorEastAsia" w:eastAsiaTheme="minorEastAsia" w:cstheme="minorEastAsia"/>
          <w:b/>
          <w:bCs/>
          <w:sz w:val="24"/>
          <w:szCs w:val="24"/>
          <w:highlight w:val="none"/>
        </w:rPr>
      </w:pPr>
    </w:p>
    <w:p>
      <w:pPr>
        <w:snapToGrid w:val="0"/>
        <w:spacing w:line="360" w:lineRule="auto"/>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sz w:val="24"/>
          <w:szCs w:val="24"/>
          <w:highlight w:val="none"/>
        </w:rPr>
        <w:t>三、选课建议（必填项）</w:t>
      </w:r>
    </w:p>
    <w:p>
      <w:pPr>
        <w:snapToGrid w:val="0"/>
        <w:spacing w:line="360" w:lineRule="auto"/>
        <w:ind w:firstLine="400" w:firstLineChars="200"/>
        <w:rPr>
          <w:rFonts w:hint="eastAsia" w:eastAsiaTheme="minorEastAsia"/>
          <w:color w:val="000000"/>
          <w:sz w:val="20"/>
          <w:szCs w:val="20"/>
          <w:highlight w:val="none"/>
          <w:lang w:eastAsia="zh-CN"/>
        </w:rPr>
      </w:pPr>
      <w:r>
        <w:rPr>
          <w:rFonts w:hint="eastAsia"/>
          <w:color w:val="000000"/>
          <w:sz w:val="20"/>
          <w:szCs w:val="20"/>
          <w:highlight w:val="none"/>
          <w:lang w:eastAsia="zh-CN"/>
        </w:rPr>
        <w:t>本课程适合有一定的新闻学基础知识、具备一定程度国际政治经济新闻了解的新闻学本科高年级学生。</w:t>
      </w:r>
    </w:p>
    <w:p>
      <w:pPr>
        <w:snapToGrid w:val="0"/>
        <w:spacing w:line="360" w:lineRule="auto"/>
        <w:ind w:firstLine="480" w:firstLineChars="200"/>
        <w:rPr>
          <w:rFonts w:hint="eastAsia" w:asciiTheme="minorEastAsia" w:hAnsiTheme="minorEastAsia" w:eastAsiaTheme="minorEastAsia" w:cstheme="minorEastAsia"/>
          <w:sz w:val="24"/>
          <w:szCs w:val="24"/>
          <w:highlight w:val="none"/>
        </w:rPr>
      </w:pPr>
    </w:p>
    <w:p>
      <w:pPr>
        <w:numPr>
          <w:ilvl w:val="0"/>
          <w:numId w:val="1"/>
        </w:numPr>
        <w:snapToGrid w:val="0"/>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课程与专业毕业要求的关联性（必填项）              </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spacing w:line="360" w:lineRule="auto"/>
              <w:jc w:val="center"/>
              <w:rPr>
                <w:rFonts w:ascii="黑体" w:hAnsi="黑体" w:eastAsia="黑体" w:cs="黑体"/>
                <w:kern w:val="0"/>
                <w:sz w:val="20"/>
                <w:szCs w:val="20"/>
                <w:highlight w:val="none"/>
              </w:rPr>
            </w:pPr>
            <w:r>
              <w:rPr>
                <w:rFonts w:hint="eastAsia" w:ascii="黑体" w:hAnsi="黑体" w:eastAsia="黑体" w:cs="黑体"/>
                <w:kern w:val="0"/>
                <w:sz w:val="20"/>
                <w:szCs w:val="20"/>
                <w:highlight w:val="none"/>
              </w:rPr>
              <w:t>专业毕业要求</w:t>
            </w:r>
          </w:p>
        </w:tc>
        <w:tc>
          <w:tcPr>
            <w:tcW w:w="727" w:type="dxa"/>
          </w:tcPr>
          <w:p>
            <w:pPr>
              <w:spacing w:line="360" w:lineRule="auto"/>
              <w:jc w:val="center"/>
              <w:rPr>
                <w:rFonts w:ascii="黑体" w:hAnsi="黑体" w:eastAsia="黑体" w:cs="黑体"/>
                <w:kern w:val="0"/>
                <w:sz w:val="20"/>
                <w:szCs w:val="20"/>
                <w:highlight w:val="none"/>
              </w:rPr>
            </w:pPr>
            <w:r>
              <w:rPr>
                <w:rFonts w:hint="eastAsia" w:ascii="黑体" w:hAnsi="黑体" w:eastAsia="黑体" w:cs="黑体"/>
                <w:kern w:val="0"/>
                <w:sz w:val="20"/>
                <w:szCs w:val="20"/>
                <w:highlight w:val="none"/>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spacing w:line="360" w:lineRule="auto"/>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sz w:val="21"/>
                <w:szCs w:val="21"/>
                <w:highlight w:val="none"/>
              </w:rPr>
              <w:t>L011</w:t>
            </w:r>
            <w:r>
              <w:rPr>
                <w:rFonts w:hint="eastAsia" w:asciiTheme="majorEastAsia" w:hAnsiTheme="majorEastAsia" w:eastAsiaTheme="majorEastAsia" w:cstheme="majorEastAsia"/>
                <w:color w:val="000000"/>
                <w:kern w:val="0"/>
                <w:sz w:val="21"/>
                <w:szCs w:val="21"/>
                <w:highlight w:val="none"/>
              </w:rPr>
              <w:t>：</w:t>
            </w:r>
          </w:p>
          <w:p>
            <w:pPr>
              <w:widowControl/>
              <w:spacing w:line="360" w:lineRule="auto"/>
              <w:rPr>
                <w:rFonts w:hint="eastAsia" w:asciiTheme="majorEastAsia" w:hAnsiTheme="majorEastAsia" w:eastAsiaTheme="majorEastAsia" w:cstheme="majorEastAsia"/>
                <w:color w:val="000000"/>
                <w:kern w:val="0"/>
                <w:sz w:val="21"/>
                <w:szCs w:val="21"/>
                <w:highlight w:val="none"/>
                <w:lang w:val="en-US" w:eastAsia="zh-CN"/>
              </w:rPr>
            </w:pPr>
            <w:r>
              <w:rPr>
                <w:rFonts w:hint="eastAsia" w:asciiTheme="majorEastAsia" w:hAnsiTheme="majorEastAsia" w:eastAsiaTheme="majorEastAsia" w:cstheme="majorEastAsia"/>
                <w:sz w:val="21"/>
                <w:szCs w:val="21"/>
                <w:highlight w:val="none"/>
              </w:rPr>
              <w:t>LO111</w:t>
            </w:r>
            <w:r>
              <w:rPr>
                <w:rFonts w:hint="eastAsia" w:asciiTheme="majorEastAsia" w:hAnsiTheme="majorEastAsia" w:eastAsiaTheme="majorEastAsia" w:cstheme="majorEastAsia"/>
                <w:sz w:val="21"/>
                <w:szCs w:val="21"/>
                <w:highlight w:val="none"/>
                <w:lang w:val="en-US" w:eastAsia="zh-CN"/>
              </w:rPr>
              <w:t xml:space="preserve">  </w:t>
            </w:r>
            <w:r>
              <w:rPr>
                <w:rFonts w:hint="eastAsia" w:asciiTheme="majorEastAsia" w:hAnsiTheme="majorEastAsia" w:eastAsiaTheme="majorEastAsia" w:cstheme="majorEastAsia"/>
                <w:sz w:val="21"/>
                <w:szCs w:val="21"/>
                <w:highlight w:val="none"/>
              </w:rPr>
              <w:t>倾听他人意见、尊重他人观点、分析他人需求。</w:t>
            </w:r>
          </w:p>
        </w:tc>
        <w:tc>
          <w:tcPr>
            <w:tcW w:w="727" w:type="dxa"/>
            <w:vAlign w:val="center"/>
          </w:tcPr>
          <w:p>
            <w:pPr>
              <w:widowControl/>
              <w:spacing w:line="360" w:lineRule="auto"/>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spacing w:line="360" w:lineRule="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L021</w:t>
            </w:r>
            <w:r>
              <w:rPr>
                <w:rFonts w:hint="eastAsia" w:asciiTheme="majorEastAsia" w:hAnsiTheme="majorEastAsia" w:eastAsiaTheme="majorEastAsia" w:cstheme="majorEastAsia"/>
                <w:sz w:val="21"/>
                <w:szCs w:val="21"/>
                <w:highlight w:val="none"/>
                <w:lang w:eastAsia="zh-CN"/>
              </w:rPr>
              <w:t>：</w:t>
            </w:r>
          </w:p>
          <w:p>
            <w:pPr>
              <w:widowControl/>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LO212能搜集、获取达到目标所需要的学习资源，实施学习计划、反思学习计划、持续改进，达到学习目标。</w:t>
            </w:r>
          </w:p>
        </w:tc>
        <w:tc>
          <w:tcPr>
            <w:tcW w:w="727" w:type="dxa"/>
            <w:vAlign w:val="center"/>
          </w:tcPr>
          <w:p>
            <w:pPr>
              <w:widowControl/>
              <w:spacing w:line="360" w:lineRule="auto"/>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spacing w:line="360" w:lineRule="auto"/>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LO41：</w:t>
            </w:r>
          </w:p>
          <w:p>
            <w:pPr>
              <w:widowControl/>
              <w:spacing w:line="360" w:lineRule="auto"/>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sz w:val="21"/>
                <w:szCs w:val="21"/>
                <w:highlight w:val="none"/>
              </w:rPr>
              <w:t>LO411</w:t>
            </w:r>
            <w:r>
              <w:rPr>
                <w:rFonts w:hint="eastAsia" w:asciiTheme="majorEastAsia" w:hAnsiTheme="majorEastAsia" w:eastAsiaTheme="majorEastAsia" w:cstheme="majorEastAsia"/>
                <w:sz w:val="21"/>
                <w:szCs w:val="21"/>
                <w:highlight w:val="none"/>
                <w:lang w:val="en-US" w:eastAsia="zh-CN"/>
              </w:rPr>
              <w:t xml:space="preserve"> </w:t>
            </w:r>
            <w:r>
              <w:rPr>
                <w:rFonts w:hint="eastAsia" w:asciiTheme="majorEastAsia" w:hAnsiTheme="majorEastAsia" w:eastAsiaTheme="majorEastAsia" w:cstheme="majorEastAsia"/>
                <w:sz w:val="21"/>
                <w:szCs w:val="21"/>
                <w:highlight w:val="none"/>
              </w:rPr>
              <w:t>遵纪守法：遵守校纪校规，具备法律意识。</w:t>
            </w:r>
          </w:p>
        </w:tc>
        <w:tc>
          <w:tcPr>
            <w:tcW w:w="727" w:type="dxa"/>
            <w:vAlign w:val="center"/>
          </w:tcPr>
          <w:p>
            <w:pPr>
              <w:widowControl/>
              <w:spacing w:line="360" w:lineRule="auto"/>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spacing w:line="360" w:lineRule="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L051</w:t>
            </w:r>
            <w:r>
              <w:rPr>
                <w:rFonts w:hint="eastAsia" w:asciiTheme="majorEastAsia" w:hAnsiTheme="majorEastAsia" w:eastAsiaTheme="majorEastAsia" w:cstheme="majorEastAsia"/>
                <w:sz w:val="21"/>
                <w:szCs w:val="21"/>
                <w:highlight w:val="none"/>
                <w:lang w:eastAsia="zh-CN"/>
              </w:rPr>
              <w:t>：</w:t>
            </w:r>
          </w:p>
          <w:p>
            <w:pPr>
              <w:widowControl/>
              <w:spacing w:line="360" w:lineRule="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LO512有质疑精神，能有逻辑的分析与批判。</w:t>
            </w:r>
          </w:p>
        </w:tc>
        <w:tc>
          <w:tcPr>
            <w:tcW w:w="727" w:type="dxa"/>
            <w:vAlign w:val="center"/>
          </w:tcPr>
          <w:p>
            <w:pPr>
              <w:widowControl/>
              <w:spacing w:line="360" w:lineRule="auto"/>
              <w:jc w:val="center"/>
              <w:rPr>
                <w:rFonts w:ascii="仿宋" w:hAnsi="仿宋" w:eastAsia="仿宋" w:cs="宋体"/>
                <w:color w:val="000000"/>
                <w:kern w:val="0"/>
                <w:sz w:val="24"/>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spacing w:line="360" w:lineRule="auto"/>
              <w:jc w:val="left"/>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L071</w:t>
            </w:r>
            <w:r>
              <w:rPr>
                <w:rFonts w:hint="eastAsia" w:asciiTheme="majorEastAsia" w:hAnsiTheme="majorEastAsia" w:eastAsiaTheme="majorEastAsia" w:cstheme="majorEastAsia"/>
                <w:sz w:val="21"/>
                <w:szCs w:val="21"/>
                <w:highlight w:val="none"/>
                <w:lang w:eastAsia="zh-CN"/>
              </w:rPr>
              <w:t>：</w:t>
            </w:r>
          </w:p>
          <w:p>
            <w:pPr>
              <w:spacing w:line="360" w:lineRule="auto"/>
              <w:jc w:val="both"/>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sz w:val="21"/>
                <w:szCs w:val="21"/>
                <w:highlight w:val="none"/>
              </w:rPr>
              <w:t>LO711爱党爱国：了解祖国的优秀传统文化和革命历史，构建爱党爱国的理想信念。</w:t>
            </w:r>
          </w:p>
        </w:tc>
        <w:tc>
          <w:tcPr>
            <w:tcW w:w="727" w:type="dxa"/>
          </w:tcPr>
          <w:p>
            <w:pPr>
              <w:spacing w:line="360" w:lineRule="auto"/>
              <w:jc w:val="center"/>
              <w:rPr>
                <w:rFonts w:ascii="黑体" w:hAnsi="黑体" w:eastAsia="黑体" w:cs="黑体"/>
                <w:kern w:val="0"/>
                <w:sz w:val="20"/>
                <w:szCs w:val="20"/>
                <w:highlight w:val="none"/>
              </w:rPr>
            </w:pPr>
          </w:p>
          <w:p>
            <w:pPr>
              <w:spacing w:line="360" w:lineRule="auto"/>
              <w:jc w:val="center"/>
              <w:rPr>
                <w:rFonts w:ascii="黑体" w:hAnsi="黑体" w:eastAsia="黑体" w:cs="黑体"/>
                <w:kern w:val="0"/>
                <w:sz w:val="20"/>
                <w:szCs w:val="20"/>
                <w:highlight w:val="none"/>
              </w:rPr>
            </w:pPr>
            <w:r>
              <w:rPr>
                <w:color w:val="000000"/>
                <w:kern w:val="0"/>
                <w:sz w:val="20"/>
                <w:szCs w:val="20"/>
                <w:highlight w:val="none"/>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spacing w:line="360" w:lineRule="auto"/>
              <w:jc w:val="left"/>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L081</w:t>
            </w:r>
            <w:r>
              <w:rPr>
                <w:rFonts w:hint="eastAsia" w:asciiTheme="majorEastAsia" w:hAnsiTheme="majorEastAsia" w:eastAsiaTheme="majorEastAsia" w:cstheme="majorEastAsia"/>
                <w:sz w:val="21"/>
                <w:szCs w:val="21"/>
                <w:highlight w:val="none"/>
                <w:lang w:eastAsia="zh-CN"/>
              </w:rPr>
              <w:t>：</w:t>
            </w:r>
          </w:p>
          <w:p>
            <w:pPr>
              <w:spacing w:line="360" w:lineRule="auto"/>
              <w:jc w:val="both"/>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L0813能用国际视野来分析评判具体的新闻事件。</w:t>
            </w:r>
          </w:p>
        </w:tc>
        <w:tc>
          <w:tcPr>
            <w:tcW w:w="727" w:type="dxa"/>
            <w:vAlign w:val="center"/>
          </w:tcPr>
          <w:p>
            <w:pPr>
              <w:spacing w:line="360" w:lineRule="auto"/>
              <w:ind w:firstLine="200" w:firstLineChars="100"/>
              <w:jc w:val="both"/>
              <w:rPr>
                <w:rFonts w:ascii="黑体" w:hAnsi="黑体" w:eastAsia="黑体" w:cs="黑体"/>
                <w:kern w:val="0"/>
                <w:sz w:val="20"/>
                <w:szCs w:val="20"/>
                <w:highlight w:val="none"/>
              </w:rPr>
            </w:pPr>
            <w:r>
              <w:rPr>
                <w:color w:val="000000"/>
                <w:kern w:val="0"/>
                <w:sz w:val="20"/>
                <w:szCs w:val="20"/>
                <w:highlight w:val="none"/>
              </w:rPr>
              <w:sym w:font="Wingdings 2" w:char="F098"/>
            </w:r>
          </w:p>
        </w:tc>
      </w:tr>
    </w:tbl>
    <w:p>
      <w:pPr>
        <w:spacing w:line="360" w:lineRule="auto"/>
        <w:rPr>
          <w:rFonts w:hint="eastAsia" w:asciiTheme="minorEastAsia" w:hAnsiTheme="minorEastAsia" w:eastAsiaTheme="minorEastAsia" w:cstheme="minorEastAsia"/>
          <w:sz w:val="24"/>
          <w:szCs w:val="24"/>
          <w:highlight w:val="none"/>
        </w:rPr>
      </w:pPr>
    </w:p>
    <w:p>
      <w:pPr>
        <w:widowControl/>
        <w:spacing w:before="156" w:beforeLines="50" w:after="156" w:afterLines="50" w:line="360" w:lineRule="auto"/>
        <w:ind w:firstLine="361" w:firstLineChars="15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五、课程目标/课程预期学习成果（必填项）（预期学习成果要可测量/能够证明）</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358"/>
        <w:gridCol w:w="231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序号</w:t>
            </w:r>
          </w:p>
        </w:tc>
        <w:tc>
          <w:tcPr>
            <w:tcW w:w="1175" w:type="dxa"/>
            <w:vAlign w:val="center"/>
          </w:tcPr>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课程预期</w:t>
            </w:r>
          </w:p>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学习成果</w:t>
            </w:r>
          </w:p>
        </w:tc>
        <w:tc>
          <w:tcPr>
            <w:tcW w:w="2358" w:type="dxa"/>
            <w:vAlign w:val="center"/>
          </w:tcPr>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课程目标</w:t>
            </w:r>
          </w:p>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（细化的预期学习成果）</w:t>
            </w:r>
          </w:p>
        </w:tc>
        <w:tc>
          <w:tcPr>
            <w:tcW w:w="2311" w:type="dxa"/>
            <w:vAlign w:val="center"/>
          </w:tcPr>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教与学方式</w:t>
            </w:r>
          </w:p>
        </w:tc>
        <w:tc>
          <w:tcPr>
            <w:tcW w:w="1276" w:type="dxa"/>
            <w:vAlign w:val="center"/>
          </w:tcPr>
          <w:p>
            <w:pPr>
              <w:snapToGrid w:val="0"/>
              <w:spacing w:line="360" w:lineRule="auto"/>
              <w:jc w:val="both"/>
              <w:rPr>
                <w:rFonts w:hint="eastAsia" w:asciiTheme="minorEastAsia" w:hAnsiTheme="minorEastAsia" w:eastAsiaTheme="minorEastAsia" w:cstheme="minorEastAsia"/>
                <w:b/>
                <w:bCs/>
                <w:color w:val="000000"/>
                <w:sz w:val="20"/>
                <w:szCs w:val="20"/>
                <w:highlight w:val="none"/>
              </w:rPr>
            </w:pPr>
            <w:r>
              <w:rPr>
                <w:rFonts w:hint="eastAsia" w:asciiTheme="minorEastAsia" w:hAnsiTheme="minorEastAsia" w:eastAsiaTheme="minorEastAsia" w:cstheme="minorEastAsia"/>
                <w:b/>
                <w:bCs/>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17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LO111</w:t>
            </w:r>
          </w:p>
        </w:tc>
        <w:tc>
          <w:tcPr>
            <w:tcW w:w="2358" w:type="dxa"/>
            <w:vAlign w:val="center"/>
          </w:tcPr>
          <w:p>
            <w:pPr>
              <w:spacing w:line="360" w:lineRule="auto"/>
              <w:jc w:val="both"/>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kern w:val="0"/>
                <w:szCs w:val="21"/>
                <w:highlight w:val="none"/>
              </w:rPr>
              <w:t>倾听他人意见、尊重他人观点、分析他人需求。上课认真听讲、记好笔记；讨论积极交流。</w:t>
            </w:r>
          </w:p>
        </w:tc>
        <w:tc>
          <w:tcPr>
            <w:tcW w:w="2311" w:type="dxa"/>
            <w:vAlign w:val="center"/>
          </w:tcPr>
          <w:p>
            <w:pPr>
              <w:snapToGrid w:val="0"/>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启发式教学。在授课中采用假设、提问和分析的方式，启发学生对相关信息进行思考、表达与沟通。</w:t>
            </w:r>
          </w:p>
        </w:tc>
        <w:tc>
          <w:tcPr>
            <w:tcW w:w="1276" w:type="dxa"/>
            <w:vAlign w:val="center"/>
          </w:tcPr>
          <w:p>
            <w:pPr>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笔记质量检查、课内就与复习内容提问互动。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117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LO212</w:t>
            </w:r>
          </w:p>
        </w:tc>
        <w:tc>
          <w:tcPr>
            <w:tcW w:w="2358"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highlight w:val="none"/>
              </w:rPr>
              <w:t>能搜集、获取达到目标所需要的学习资源，实施学习计划、反思学习计划、持续改进，达到学习目标。</w:t>
            </w:r>
          </w:p>
        </w:tc>
        <w:tc>
          <w:tcPr>
            <w:tcW w:w="2311"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教科书的预复习，强调记好上课笔记。指导学生搜索学习与教学进度匹配的参考文章和资料，通过讨论交流取长补短。</w:t>
            </w:r>
          </w:p>
        </w:tc>
        <w:tc>
          <w:tcPr>
            <w:tcW w:w="1276"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笔记质量检查、课内就与复习内容提问互动。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117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highlight w:val="none"/>
              </w:rPr>
              <w:t>LO411</w:t>
            </w:r>
          </w:p>
        </w:tc>
        <w:tc>
          <w:tcPr>
            <w:tcW w:w="2358" w:type="dxa"/>
            <w:vAlign w:val="center"/>
          </w:tcPr>
          <w:p>
            <w:pPr>
              <w:spacing w:line="360" w:lineRule="auto"/>
              <w:jc w:val="both"/>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kern w:val="0"/>
                <w:szCs w:val="21"/>
                <w:highlight w:val="none"/>
              </w:rPr>
              <w:t>遵纪守法：了解遵守校纪校规，具备法律意识。提高学生遵纪守法的自觉性。</w:t>
            </w:r>
          </w:p>
        </w:tc>
        <w:tc>
          <w:tcPr>
            <w:tcW w:w="2311"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与辅导员合作，在课堂内外强调法纪教育，发现问题及时处理。</w:t>
            </w:r>
          </w:p>
        </w:tc>
        <w:tc>
          <w:tcPr>
            <w:tcW w:w="1276" w:type="dxa"/>
            <w:vAlign w:val="center"/>
          </w:tcPr>
          <w:p>
            <w:pPr>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lang w:eastAsia="zh-CN"/>
              </w:rPr>
              <w:t>严格按照《上海建桥学院学生手册》进行考勤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117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highlight w:val="none"/>
              </w:rPr>
              <w:t>LO512</w:t>
            </w:r>
          </w:p>
        </w:tc>
        <w:tc>
          <w:tcPr>
            <w:tcW w:w="2358" w:type="dxa"/>
            <w:vAlign w:val="center"/>
          </w:tcPr>
          <w:p>
            <w:pPr>
              <w:widowControl/>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有质疑精神，能有逻辑的分析与批判。</w:t>
            </w:r>
          </w:p>
          <w:p>
            <w:pPr>
              <w:widowControl/>
              <w:spacing w:line="360" w:lineRule="auto"/>
              <w:jc w:val="both"/>
              <w:rPr>
                <w:rFonts w:hint="eastAsia" w:asciiTheme="minorEastAsia" w:hAnsiTheme="minorEastAsia" w:eastAsiaTheme="minorEastAsia" w:cstheme="minorEastAsia"/>
                <w:highlight w:val="none"/>
              </w:rPr>
            </w:pPr>
          </w:p>
          <w:p>
            <w:pPr>
              <w:widowControl/>
              <w:spacing w:line="360" w:lineRule="auto"/>
              <w:jc w:val="both"/>
              <w:rPr>
                <w:rFonts w:hint="eastAsia" w:asciiTheme="minorEastAsia" w:hAnsiTheme="minorEastAsia" w:eastAsiaTheme="minorEastAsia" w:cstheme="minorEastAsia"/>
                <w:highlight w:val="none"/>
              </w:rPr>
            </w:pPr>
          </w:p>
        </w:tc>
        <w:tc>
          <w:tcPr>
            <w:tcW w:w="2311"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鼓励启发学生在课堂讨论中、对教科书和教</w:t>
            </w:r>
          </w:p>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师的讲授内容提出自己的不同观点。</w:t>
            </w:r>
          </w:p>
        </w:tc>
        <w:tc>
          <w:tcPr>
            <w:tcW w:w="1276" w:type="dxa"/>
            <w:vAlign w:val="center"/>
          </w:tcPr>
          <w:p>
            <w:pPr>
              <w:snapToGrid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1"/>
                <w:szCs w:val="21"/>
                <w:highlight w:val="none"/>
                <w:lang w:eastAsia="zh-CN"/>
              </w:rPr>
              <w:t>期末考试论述题分析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p>
        </w:tc>
        <w:tc>
          <w:tcPr>
            <w:tcW w:w="117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LO711</w:t>
            </w:r>
          </w:p>
        </w:tc>
        <w:tc>
          <w:tcPr>
            <w:tcW w:w="2358"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爱党爱国：了解祖国的优秀传统文化和革命历史，构建爱党爱国的理想信念。</w:t>
            </w:r>
          </w:p>
        </w:tc>
        <w:tc>
          <w:tcPr>
            <w:tcW w:w="2311"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根据教学内容，特别是涉我问题和中国外交方针政策的的教学过程中，帮助学生确立道路自信、制度自行、理论自信和文化自信。</w:t>
            </w:r>
          </w:p>
        </w:tc>
        <w:tc>
          <w:tcPr>
            <w:tcW w:w="1276" w:type="dxa"/>
            <w:vAlign w:val="center"/>
          </w:tcPr>
          <w:p>
            <w:pPr>
              <w:snapToGrid w:val="0"/>
              <w:spacing w:line="360" w:lineRule="auto"/>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highlight w:val="none"/>
              </w:rPr>
              <w:t>课堂教学、互动及</w:t>
            </w:r>
            <w:r>
              <w:rPr>
                <w:rFonts w:hint="eastAsia" w:asciiTheme="minorEastAsia" w:hAnsiTheme="minorEastAsia" w:eastAsiaTheme="minorEastAsia" w:cstheme="minorEastAsia"/>
                <w:highlight w:val="none"/>
                <w:lang w:eastAsia="zh-CN"/>
              </w:rPr>
              <w:t>期末考试、随堂测验</w:t>
            </w:r>
            <w:r>
              <w:rPr>
                <w:rFonts w:hint="eastAsia" w:asciiTheme="minorEastAsia" w:hAnsiTheme="minorEastAsia" w:eastAsiaTheme="minorEastAsia" w:cstheme="minorEastAsia"/>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3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1175" w:type="dxa"/>
            <w:vAlign w:val="center"/>
          </w:tcPr>
          <w:p>
            <w:pPr>
              <w:spacing w:line="360" w:lineRule="auto"/>
              <w:jc w:val="both"/>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highlight w:val="none"/>
              </w:rPr>
              <w:t>L0813</w:t>
            </w:r>
          </w:p>
        </w:tc>
        <w:tc>
          <w:tcPr>
            <w:tcW w:w="2358" w:type="dxa"/>
            <w:vAlign w:val="center"/>
          </w:tcPr>
          <w:p>
            <w:pPr>
              <w:spacing w:line="360" w:lineRule="auto"/>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能用国际视野来分析评判具体的新闻事件。</w:t>
            </w:r>
          </w:p>
          <w:p>
            <w:pPr>
              <w:spacing w:line="360" w:lineRule="auto"/>
              <w:ind w:firstLine="420" w:firstLineChars="200"/>
              <w:jc w:val="both"/>
              <w:rPr>
                <w:rFonts w:hint="eastAsia" w:asciiTheme="minorEastAsia" w:hAnsiTheme="minorEastAsia" w:eastAsiaTheme="minorEastAsia" w:cstheme="minorEastAsia"/>
                <w:color w:val="000000"/>
                <w:highlight w:val="none"/>
              </w:rPr>
            </w:pPr>
          </w:p>
          <w:p>
            <w:pPr>
              <w:spacing w:line="360" w:lineRule="auto"/>
              <w:jc w:val="both"/>
              <w:rPr>
                <w:rFonts w:hint="eastAsia" w:asciiTheme="minorEastAsia" w:hAnsiTheme="minorEastAsia" w:eastAsiaTheme="minorEastAsia" w:cstheme="minorEastAsia"/>
                <w:highlight w:val="none"/>
              </w:rPr>
            </w:pPr>
          </w:p>
        </w:tc>
        <w:tc>
          <w:tcPr>
            <w:tcW w:w="2311" w:type="dxa"/>
            <w:vAlign w:val="center"/>
          </w:tcPr>
          <w:p>
            <w:pPr>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结合学习课程的全部教学内容， 提高学生在国际政治世界经济方面的素养，还要提高学生运用国际视野、世界眼光分析评判问题的能力。</w:t>
            </w:r>
          </w:p>
        </w:tc>
        <w:tc>
          <w:tcPr>
            <w:tcW w:w="1276" w:type="dxa"/>
            <w:vAlign w:val="center"/>
          </w:tcPr>
          <w:p>
            <w:pPr>
              <w:snapToGrid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w:t>课堂教学、互动及</w:t>
            </w:r>
            <w:r>
              <w:rPr>
                <w:rFonts w:hint="eastAsia" w:asciiTheme="minorEastAsia" w:hAnsiTheme="minorEastAsia" w:eastAsiaTheme="minorEastAsia" w:cstheme="minorEastAsia"/>
                <w:highlight w:val="none"/>
                <w:lang w:eastAsia="zh-CN"/>
              </w:rPr>
              <w:t>期末考试、随堂测验</w:t>
            </w:r>
            <w:r>
              <w:rPr>
                <w:rFonts w:hint="eastAsia" w:asciiTheme="minorEastAsia" w:hAnsiTheme="minorEastAsia" w:eastAsiaTheme="minorEastAsia" w:cstheme="minorEastAsia"/>
                <w:highlight w:val="none"/>
                <w:lang w:val="en-US" w:eastAsia="zh-CN"/>
              </w:rPr>
              <w:t>1、2</w:t>
            </w:r>
          </w:p>
        </w:tc>
      </w:tr>
    </w:tbl>
    <w:p>
      <w:pPr>
        <w:snapToGrid w:val="0"/>
        <w:spacing w:line="360" w:lineRule="auto"/>
        <w:ind w:left="420" w:leftChars="200"/>
        <w:rPr>
          <w:rFonts w:hint="eastAsia" w:asciiTheme="minorEastAsia" w:hAnsiTheme="minorEastAsia" w:eastAsiaTheme="minorEastAsia" w:cstheme="minorEastAsia"/>
          <w:sz w:val="24"/>
          <w:szCs w:val="24"/>
          <w:highlight w:val="none"/>
        </w:rPr>
      </w:pPr>
    </w:p>
    <w:p>
      <w:pPr>
        <w:widowControl/>
        <w:spacing w:before="156" w:beforeLines="50" w:after="156" w:afterLines="50" w:line="360" w:lineRule="auto"/>
        <w:ind w:firstLine="361" w:firstLineChars="150"/>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4"/>
          <w:szCs w:val="24"/>
          <w:highlight w:val="none"/>
        </w:rPr>
        <w:t>六、课程内容（必填项）</w:t>
      </w:r>
    </w:p>
    <w:p>
      <w:pPr>
        <w:snapToGrid w:val="0"/>
        <w:spacing w:line="360" w:lineRule="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第一</w:t>
      </w:r>
      <w:r>
        <w:rPr>
          <w:rFonts w:hint="eastAsia" w:asciiTheme="minorEastAsia" w:hAnsiTheme="minorEastAsia" w:eastAsiaTheme="minorEastAsia" w:cstheme="minorEastAsia"/>
          <w:b/>
          <w:bCs/>
          <w:sz w:val="21"/>
          <w:szCs w:val="21"/>
          <w:highlight w:val="none"/>
          <w:lang w:eastAsia="zh-CN"/>
        </w:rPr>
        <w:t>章</w:t>
      </w:r>
      <w:r>
        <w:rPr>
          <w:rFonts w:hint="eastAsia" w:asciiTheme="minorEastAsia" w:hAnsiTheme="minorEastAsia" w:eastAsiaTheme="minorEastAsia" w:cstheme="minorEastAsia"/>
          <w:b/>
          <w:bCs/>
          <w:sz w:val="21"/>
          <w:szCs w:val="21"/>
          <w:highlight w:val="none"/>
        </w:rPr>
        <w:t xml:space="preserve">  国际政治经济学的历史演进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2课时</w:t>
      </w:r>
    </w:p>
    <w:p>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掌握国际政治经济学的含义；</w:t>
      </w:r>
      <w:r>
        <w:rPr>
          <w:rFonts w:hint="eastAsia" w:asciiTheme="minorEastAsia" w:hAnsiTheme="minorEastAsia" w:eastAsiaTheme="minorEastAsia" w:cstheme="minorEastAsia"/>
          <w:sz w:val="21"/>
          <w:szCs w:val="21"/>
          <w:highlight w:val="none"/>
          <w:lang w:eastAsia="zh-CN"/>
        </w:rPr>
        <w:t>了解国际政治经济学的学科定位；掌握国际政治经济学的思想传统；了解国际政治经济学的形成与发展；掌握开放经济政治学分析国际政治经济问题的范式。</w:t>
      </w:r>
    </w:p>
    <w:p>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一、国际政治经济学的学科</w:t>
      </w:r>
      <w:r>
        <w:rPr>
          <w:rFonts w:hint="eastAsia" w:asciiTheme="minorEastAsia" w:hAnsiTheme="minorEastAsia" w:eastAsiaTheme="minorEastAsia" w:cstheme="minorEastAsia"/>
          <w:sz w:val="21"/>
          <w:szCs w:val="21"/>
          <w:highlight w:val="none"/>
          <w:lang w:eastAsia="zh-CN"/>
        </w:rPr>
        <w:t>定位</w:t>
      </w:r>
    </w:p>
    <w:p>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二、国际政治经济学的</w:t>
      </w:r>
      <w:r>
        <w:rPr>
          <w:rFonts w:hint="eastAsia" w:asciiTheme="minorEastAsia" w:hAnsiTheme="minorEastAsia" w:eastAsiaTheme="minorEastAsia" w:cstheme="minorEastAsia"/>
          <w:sz w:val="21"/>
          <w:szCs w:val="21"/>
          <w:highlight w:val="none"/>
          <w:lang w:eastAsia="zh-CN"/>
        </w:rPr>
        <w:t>思想传统</w:t>
      </w:r>
    </w:p>
    <w:p>
      <w:pPr>
        <w:snapToGrid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三、国际政治经济学的</w:t>
      </w:r>
      <w:r>
        <w:rPr>
          <w:rFonts w:hint="eastAsia" w:asciiTheme="minorEastAsia" w:hAnsiTheme="minorEastAsia" w:eastAsiaTheme="minorEastAsia" w:cstheme="minorEastAsia"/>
          <w:sz w:val="21"/>
          <w:szCs w:val="21"/>
          <w:highlight w:val="none"/>
          <w:lang w:eastAsia="zh-CN"/>
        </w:rPr>
        <w:t>形成与发展</w:t>
      </w:r>
    </w:p>
    <w:p>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第二</w:t>
      </w:r>
      <w:r>
        <w:rPr>
          <w:rFonts w:hint="eastAsia" w:asciiTheme="minorEastAsia" w:hAnsiTheme="minorEastAsia" w:eastAsiaTheme="minorEastAsia" w:cstheme="minorEastAsia"/>
          <w:b/>
          <w:bCs/>
          <w:sz w:val="21"/>
          <w:szCs w:val="21"/>
          <w:lang w:eastAsia="zh-CN"/>
        </w:rPr>
        <w:t>章</w:t>
      </w:r>
      <w:r>
        <w:rPr>
          <w:rFonts w:hint="eastAsia" w:asciiTheme="minorEastAsia" w:hAnsiTheme="minorEastAsia" w:eastAsiaTheme="minorEastAsia" w:cstheme="minorEastAsia"/>
          <w:b/>
          <w:bCs/>
          <w:sz w:val="21"/>
          <w:szCs w:val="21"/>
        </w:rPr>
        <w:t xml:space="preserve"> 国际体系的政治经济学理论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4课时</w:t>
      </w:r>
    </w:p>
    <w:p>
      <w:pPr>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掌握霸权稳定理论</w:t>
      </w:r>
      <w:r>
        <w:rPr>
          <w:rFonts w:hint="eastAsia" w:asciiTheme="minorEastAsia" w:hAnsiTheme="minorEastAsia" w:eastAsiaTheme="minorEastAsia" w:cstheme="minorEastAsia"/>
          <w:b w:val="0"/>
          <w:bCs/>
          <w:sz w:val="21"/>
          <w:szCs w:val="21"/>
          <w:lang w:eastAsia="zh-CN"/>
        </w:rPr>
        <w:t>的逻辑基础、霸权稳定理论中的慈善领导模型、霸权稳定理论中的强制领导模型；了解</w:t>
      </w:r>
      <w:r>
        <w:rPr>
          <w:rFonts w:hint="eastAsia" w:asciiTheme="minorEastAsia" w:hAnsiTheme="minorEastAsia" w:eastAsiaTheme="minorEastAsia" w:cstheme="minorEastAsia"/>
          <w:b w:val="0"/>
          <w:bCs/>
          <w:sz w:val="21"/>
          <w:szCs w:val="21"/>
        </w:rPr>
        <w:t>国际政治经济体系中先后出现的三个霸权国家的兴衰对中国所产生的启示和借鉴意义</w:t>
      </w:r>
      <w:r>
        <w:rPr>
          <w:rFonts w:hint="eastAsia" w:asciiTheme="minorEastAsia" w:hAnsiTheme="minorEastAsia" w:eastAsiaTheme="minorEastAsia" w:cstheme="minorEastAsia"/>
          <w:b w:val="0"/>
          <w:bCs/>
          <w:sz w:val="21"/>
          <w:szCs w:val="21"/>
          <w:lang w:eastAsia="zh-CN"/>
        </w:rPr>
        <w:t>；理解美国霸权的三大支柱；了解霸权稳定理论的价值和局限；掌握世界体系的类型与性质；知道现代世界体系的形成与扩展；理解现代世界体系的结构与周期；了解世界体系理论的价值与局限；掌握新自由制度主义理论的逻辑基础；掌握国际制度的功能理论；掌握国际制度的形式与设计理论；了解新自由制度主义理论的价值与局限；理解并掌握世界各国在国际-国内政治经济中的运行逻辑。</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霸权稳定理论</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世界体系理论</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eastAsia="zh-CN"/>
        </w:rPr>
        <w:t>新自由制度主义</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第三</w:t>
      </w:r>
      <w:r>
        <w:rPr>
          <w:rFonts w:hint="eastAsia" w:asciiTheme="minorEastAsia" w:hAnsiTheme="minorEastAsia" w:eastAsiaTheme="minorEastAsia" w:cstheme="minorEastAsia"/>
          <w:b/>
          <w:bCs/>
          <w:sz w:val="21"/>
          <w:szCs w:val="21"/>
          <w:lang w:eastAsia="zh-CN"/>
        </w:rPr>
        <w:t>章</w:t>
      </w:r>
      <w:r>
        <w:rPr>
          <w:rFonts w:hint="eastAsia" w:asciiTheme="minorEastAsia" w:hAnsiTheme="minorEastAsia" w:eastAsiaTheme="minorEastAsia" w:cstheme="minorEastAsia"/>
          <w:b/>
          <w:bCs/>
          <w:sz w:val="21"/>
          <w:szCs w:val="21"/>
        </w:rPr>
        <w:t xml:space="preserve">  国际—国内互动的政治经济学理论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4课时</w:t>
      </w:r>
    </w:p>
    <w:p>
      <w:pPr>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掌握主权国家的概念；掌握国家自主性的含义；理解国家自主性与对外经济政策选择；理解国内结构与对外经济政策选择；了解国家主义理论的价值与局限；了解以社会为中心的理论背景；掌握并应用社会联盟的阶级分化模型；掌握并应用社会联盟的行业/部门分化模型；理解两种社会联盟模型的分歧与会合；了解社会联盟理论的价值与局限；了解以制度为中心的理论背景；理解国内政治制度与对外经济政策：历史制度主义的路径；理解国内政治制度与对外经济政策：理性选择制度主义的路径；了解制度主义的价值与局限。</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以国家为中心的理论</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以社会为中心的理论</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eastAsia="zh-CN"/>
        </w:rPr>
        <w:t>以制度为中心的理论</w:t>
      </w:r>
    </w:p>
    <w:p>
      <w:pPr>
        <w:spacing w:line="360" w:lineRule="auto"/>
        <w:rPr>
          <w:rFonts w:hint="eastAsia" w:asciiTheme="minorEastAsia" w:hAnsiTheme="minorEastAsia" w:eastAsiaTheme="minorEastAsia" w:cstheme="minorEastAsia"/>
          <w:sz w:val="21"/>
          <w:szCs w:val="21"/>
          <w:lang w:eastAsia="zh-CN"/>
        </w:rPr>
      </w:pPr>
    </w:p>
    <w:p>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eastAsia="zh-CN"/>
        </w:rPr>
        <w:t>四章</w:t>
      </w:r>
      <w:r>
        <w:rPr>
          <w:rFonts w:hint="eastAsia" w:asciiTheme="minorEastAsia" w:hAnsiTheme="minorEastAsia" w:eastAsiaTheme="minorEastAsia" w:cstheme="minorEastAsia"/>
          <w:b/>
          <w:bCs/>
          <w:sz w:val="21"/>
          <w:szCs w:val="21"/>
        </w:rPr>
        <w:t xml:space="preserve">  国际</w:t>
      </w:r>
      <w:r>
        <w:rPr>
          <w:rFonts w:hint="eastAsia" w:asciiTheme="minorEastAsia" w:hAnsiTheme="minorEastAsia" w:eastAsiaTheme="minorEastAsia" w:cstheme="minorEastAsia"/>
          <w:b/>
          <w:bCs/>
          <w:sz w:val="21"/>
          <w:szCs w:val="21"/>
          <w:lang w:eastAsia="zh-CN"/>
        </w:rPr>
        <w:t>贸易</w:t>
      </w:r>
      <w:r>
        <w:rPr>
          <w:rFonts w:hint="eastAsia" w:asciiTheme="minorEastAsia" w:hAnsiTheme="minorEastAsia" w:eastAsiaTheme="minorEastAsia" w:cstheme="minorEastAsia"/>
          <w:b/>
          <w:bCs/>
          <w:sz w:val="21"/>
          <w:szCs w:val="21"/>
        </w:rPr>
        <w:t>的政治</w:t>
      </w:r>
      <w:r>
        <w:rPr>
          <w:rFonts w:hint="eastAsia" w:asciiTheme="minorEastAsia" w:hAnsiTheme="minorEastAsia" w:eastAsiaTheme="minorEastAsia" w:cstheme="minorEastAsia"/>
          <w:b/>
          <w:bCs/>
          <w:sz w:val="21"/>
          <w:szCs w:val="21"/>
          <w:lang w:eastAsia="zh-CN"/>
        </w:rPr>
        <w:t>经济</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 xml:space="preserve">2课时  专题讨论：2课时  </w:t>
      </w:r>
    </w:p>
    <w:p>
      <w:pPr>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理解解决人类社会欲望无限性与资源有限之间的矛盾（国内、国外皆然）的六种方法或手段；知道现实主义或新重商主义；了解国际贸易的产生及其特点；了解第二次世界大战后至20世纪90年代的国际贸易；了解20世纪90年代后国际贸易的新发展；理解国际贸易与世界经济发展；理解国际贸易与国际政治的相互影响和作用；理解国际政治对国际贸易的作用；了解国际贸易体系的制度化；掌握国内政治与对外贸易政策选择。</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国际贸易的形成与发展</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国际贸易体系的制度化</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eastAsia="zh-CN"/>
        </w:rPr>
        <w:t>国内政治与对外贸易政策</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四、专题：中美贸易战的政治经济分析</w:t>
      </w:r>
    </w:p>
    <w:p>
      <w:pPr>
        <w:spacing w:line="360" w:lineRule="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eastAsia="zh-CN"/>
        </w:rPr>
        <w:t>五章</w:t>
      </w:r>
      <w:r>
        <w:rPr>
          <w:rFonts w:hint="eastAsia" w:asciiTheme="minorEastAsia" w:hAnsiTheme="minorEastAsia" w:eastAsiaTheme="minorEastAsia" w:cstheme="minorEastAsia"/>
          <w:b/>
          <w:bCs/>
          <w:sz w:val="21"/>
          <w:szCs w:val="21"/>
        </w:rPr>
        <w:t xml:space="preserve">  国际货币金融的政治经济</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2课时  专题讨论：2课时</w:t>
      </w:r>
    </w:p>
    <w:p>
      <w:pPr>
        <w:numPr>
          <w:ilvl w:val="0"/>
          <w:numId w:val="0"/>
        </w:numPr>
        <w:spacing w:line="360" w:lineRule="auto"/>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了解国际货币体系的形成与发展；知道国际货币体系的内容；知道国际收支调整措施；理解货币的双重属性；了解国际货币体系的演进；理解国际金本位制、布雷顿森林体系和牙买加体系；理解特里芬难题的含义及其对中国人民币国际化的借鉴意义；掌握人民币国际化的含义、动因、措施和障碍；了解国际金融危机与债务危机的政治；理解美国次贷危机对中国进行房地产调控的借鉴意义。</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国际货币体系的形成与发展</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国际货币基金组织与国际政治</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eastAsia="zh-CN"/>
        </w:rPr>
        <w:t>国际金融危机与债务危机的政治</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四、专题：人民币国际化的政治经济因素分析</w:t>
      </w:r>
    </w:p>
    <w:p>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eastAsia="zh-CN"/>
        </w:rPr>
        <w:t>六章</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 xml:space="preserve">跨国公司与对外直接投资的政治经济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2课时</w:t>
      </w:r>
    </w:p>
    <w:p>
      <w:pPr>
        <w:numPr>
          <w:ilvl w:val="0"/>
          <w:numId w:val="0"/>
        </w:numPr>
        <w:spacing w:line="360" w:lineRule="auto"/>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了解跨国公司的形成与发展；掌握对外直接投资的国际协调机制；理解跨国公司与民族国家之间的互动；理解跨国公司、对外直接投资、双边投资协定、多边投资协定、区域投资协定、产业空心化的含义；掌握跨国公司对母国政治经济的影响；掌握跨国公司对东道国政治经济的影响。</w:t>
      </w:r>
    </w:p>
    <w:p>
      <w:pPr>
        <w:numPr>
          <w:ilvl w:val="0"/>
          <w:numId w:val="0"/>
        </w:numPr>
        <w:spacing w:line="36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一、跨国公司的形成与发展</w:t>
      </w:r>
    </w:p>
    <w:p>
      <w:pPr>
        <w:numPr>
          <w:ilvl w:val="0"/>
          <w:numId w:val="0"/>
        </w:numPr>
        <w:spacing w:line="360" w:lineRule="auto"/>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二、对外直接投资的国际协调机制</w:t>
      </w:r>
    </w:p>
    <w:p>
      <w:pPr>
        <w:numPr>
          <w:ilvl w:val="0"/>
          <w:numId w:val="0"/>
        </w:numPr>
        <w:spacing w:line="360" w:lineRule="auto"/>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三、跨国公司与民族国家之间的互动</w:t>
      </w:r>
    </w:p>
    <w:p>
      <w:pPr>
        <w:numPr>
          <w:ilvl w:val="0"/>
          <w:numId w:val="0"/>
        </w:numPr>
        <w:spacing w:line="360" w:lineRule="auto"/>
        <w:ind w:leftChars="0"/>
        <w:rPr>
          <w:rFonts w:hint="eastAsia" w:asciiTheme="minorEastAsia" w:hAnsiTheme="minorEastAsia" w:eastAsiaTheme="minorEastAsia" w:cstheme="minorEastAsia"/>
          <w:sz w:val="21"/>
          <w:szCs w:val="21"/>
          <w:lang w:eastAsia="zh-CN"/>
        </w:rPr>
      </w:pPr>
    </w:p>
    <w:p>
      <w:pPr>
        <w:numPr>
          <w:ilvl w:val="0"/>
          <w:numId w:val="0"/>
        </w:numPr>
        <w:spacing w:line="360" w:lineRule="auto"/>
        <w:ind w:leftChars="0"/>
        <w:rPr>
          <w:rFonts w:hint="eastAsia" w:asciiTheme="minorEastAsia" w:hAnsiTheme="minorEastAsia" w:eastAsiaTheme="minorEastAsia" w:cstheme="minorEastAsia"/>
          <w:sz w:val="21"/>
          <w:szCs w:val="21"/>
          <w:lang w:eastAsia="zh-CN"/>
        </w:rPr>
      </w:pPr>
    </w:p>
    <w:p>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eastAsia="zh-CN"/>
        </w:rPr>
        <w:t>七章</w:t>
      </w:r>
      <w:r>
        <w:rPr>
          <w:rFonts w:hint="eastAsia" w:asciiTheme="minorEastAsia" w:hAnsiTheme="minorEastAsia" w:eastAsiaTheme="minorEastAsia" w:cstheme="minorEastAsia"/>
          <w:b/>
          <w:bCs/>
          <w:sz w:val="21"/>
          <w:szCs w:val="21"/>
        </w:rPr>
        <w:t xml:space="preserve">  发展与转型的政治经济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2课时</w:t>
      </w:r>
    </w:p>
    <w:p>
      <w:pPr>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了解发展的含义与发展主义的兴衰；理解发展的国际维度：依附与欠发达；理解发展的国内维度：国家与市场的关系；知道对外援助及其类型；掌握对外援助的政治经济功能；了解援助国利益的实现：优先援助与援助协调；了解转型的内容与后果；知道经济转型的初始条件；理解经济转型的两种制度变革战略；理解经济转型的外部动因。</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发展的政治经济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对外援助的政治经济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eastAsia="zh-CN"/>
        </w:rPr>
        <w:t>转型的政治经济</w:t>
      </w:r>
    </w:p>
    <w:p>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eastAsia="zh-CN"/>
        </w:rPr>
        <w:t>八章</w:t>
      </w:r>
      <w:r>
        <w:rPr>
          <w:rFonts w:hint="eastAsia" w:asciiTheme="minorEastAsia" w:hAnsiTheme="minorEastAsia" w:eastAsiaTheme="minorEastAsia" w:cstheme="minorEastAsia"/>
          <w:b/>
          <w:bCs/>
          <w:sz w:val="21"/>
          <w:szCs w:val="21"/>
        </w:rPr>
        <w:t xml:space="preserve">  区域经济一体化的政治经济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2课时</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掌握区域一体化和全球化</w:t>
      </w:r>
      <w:r>
        <w:rPr>
          <w:rFonts w:hint="eastAsia" w:asciiTheme="minorEastAsia" w:hAnsiTheme="minorEastAsia" w:eastAsiaTheme="minorEastAsia" w:cstheme="minorEastAsia"/>
          <w:b w:val="0"/>
          <w:bCs/>
          <w:sz w:val="21"/>
          <w:szCs w:val="21"/>
          <w:lang w:eastAsia="zh-CN"/>
        </w:rPr>
        <w:t>的含义；了解区域经济一体化进程的四个阶段；了解欧洲一体化的政治经济；理解区域一体化的政治经济影响</w:t>
      </w:r>
      <w:r>
        <w:rPr>
          <w:rFonts w:hint="eastAsia" w:asciiTheme="minorEastAsia" w:hAnsiTheme="minorEastAsia" w:eastAsiaTheme="minorEastAsia" w:cstheme="minorEastAsia"/>
          <w:b w:val="0"/>
          <w:bCs/>
          <w:sz w:val="21"/>
          <w:szCs w:val="21"/>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欧洲一体化的政治经济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东亚一体化的政治经济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三、拉美一体化的政治经济</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第九</w:t>
      </w:r>
      <w:r>
        <w:rPr>
          <w:rFonts w:hint="eastAsia" w:asciiTheme="minorEastAsia" w:hAnsiTheme="minorEastAsia" w:eastAsiaTheme="minorEastAsia" w:cstheme="minorEastAsia"/>
          <w:b/>
          <w:bCs/>
          <w:sz w:val="21"/>
          <w:szCs w:val="21"/>
          <w:lang w:eastAsia="zh-CN"/>
        </w:rPr>
        <w:t>章</w:t>
      </w:r>
      <w:r>
        <w:rPr>
          <w:rFonts w:hint="eastAsia" w:asciiTheme="minorEastAsia" w:hAnsiTheme="minorEastAsia" w:eastAsiaTheme="minorEastAsia" w:cstheme="minorEastAsia"/>
          <w:b/>
          <w:bCs/>
          <w:sz w:val="21"/>
          <w:szCs w:val="21"/>
        </w:rPr>
        <w:t xml:space="preserve">  全球经济治理与国际经济秩序  </w:t>
      </w:r>
      <w:r>
        <w:rPr>
          <w:rFonts w:hint="eastAsia" w:asciiTheme="minorEastAsia" w:hAnsiTheme="minorEastAsia" w:eastAsiaTheme="minorEastAsia" w:cstheme="minorEastAsia"/>
          <w:b/>
          <w:bCs/>
          <w:sz w:val="21"/>
          <w:szCs w:val="21"/>
          <w:highlight w:val="none"/>
          <w:lang w:eastAsia="zh-CN"/>
        </w:rPr>
        <w:t>理论课时：</w:t>
      </w:r>
      <w:r>
        <w:rPr>
          <w:rFonts w:hint="eastAsia" w:asciiTheme="minorEastAsia" w:hAnsiTheme="minorEastAsia" w:eastAsiaTheme="minorEastAsia" w:cstheme="minorEastAsia"/>
          <w:b/>
          <w:bCs/>
          <w:sz w:val="21"/>
          <w:szCs w:val="21"/>
          <w:highlight w:val="none"/>
          <w:lang w:val="en-US" w:eastAsia="zh-CN"/>
        </w:rPr>
        <w:t>2课时</w:t>
      </w:r>
    </w:p>
    <w:p>
      <w:pPr>
        <w:spacing w:line="360" w:lineRule="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掌握全球化的概念与类型</w:t>
      </w:r>
      <w:r>
        <w:rPr>
          <w:rFonts w:hint="eastAsia" w:asciiTheme="minorEastAsia" w:hAnsiTheme="minorEastAsia" w:eastAsiaTheme="minorEastAsia" w:cstheme="minorEastAsia"/>
          <w:b w:val="0"/>
          <w:bCs/>
          <w:sz w:val="21"/>
          <w:szCs w:val="21"/>
          <w:lang w:eastAsia="zh-CN"/>
        </w:rPr>
        <w:t>；理解全球化的动力；理解经济全球化对国内政治经济的影响；了解经济全球化、区域经济一体化与反全球化运动；掌握治理与全球治理的含义；理解全球经济的政治三难困境；了解全球经济中的治理模式与治理安排；了解国际经济秩序的变革。</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全球化与全球政治经济</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eastAsia="zh-CN"/>
        </w:rPr>
        <w:t>全球经济的治理</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eastAsia="zh-CN"/>
        </w:rPr>
        <w:t>国际经济秩序的变革</w:t>
      </w:r>
    </w:p>
    <w:p>
      <w:pPr>
        <w:snapToGrid w:val="0"/>
        <w:spacing w:line="360" w:lineRule="auto"/>
        <w:ind w:right="2520"/>
        <w:rPr>
          <w:rFonts w:hint="eastAsia" w:asciiTheme="minorEastAsia" w:hAnsiTheme="minorEastAsia" w:eastAsiaTheme="minorEastAsia" w:cstheme="minorEastAsia"/>
          <w:sz w:val="24"/>
          <w:szCs w:val="24"/>
          <w:highlight w:val="none"/>
        </w:rPr>
      </w:pPr>
    </w:p>
    <w:p>
      <w:pPr>
        <w:snapToGrid w:val="0"/>
        <w:spacing w:line="240" w:lineRule="auto"/>
        <w:ind w:right="2520" w:firstLine="482" w:firstLineChars="200"/>
        <w:rPr>
          <w:sz w:val="20"/>
          <w:szCs w:val="20"/>
          <w:highlight w:val="none"/>
        </w:rPr>
      </w:pPr>
      <w:r>
        <w:rPr>
          <w:rFonts w:hint="eastAsia" w:asciiTheme="minorEastAsia" w:hAnsiTheme="minorEastAsia" w:eastAsiaTheme="minorEastAsia" w:cstheme="minorEastAsia"/>
          <w:b/>
          <w:bCs/>
          <w:sz w:val="24"/>
          <w:szCs w:val="24"/>
          <w:highlight w:val="none"/>
        </w:rPr>
        <w:t>八、评价方式与成绩（必填项）</w:t>
      </w:r>
    </w:p>
    <w:tbl>
      <w:tblPr>
        <w:tblStyle w:val="5"/>
        <w:tblpPr w:leftFromText="180" w:rightFromText="180" w:vertAnchor="text" w:horzAnchor="page" w:tblpX="1645" w:tblpY="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Lines="50" w:afterLines="50" w:line="360" w:lineRule="auto"/>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总评构成（1+X）</w:t>
            </w:r>
          </w:p>
        </w:tc>
        <w:tc>
          <w:tcPr>
            <w:tcW w:w="5103"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评价方式</w:t>
            </w:r>
          </w:p>
        </w:tc>
        <w:tc>
          <w:tcPr>
            <w:tcW w:w="2127"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1</w:t>
            </w:r>
          </w:p>
        </w:tc>
        <w:tc>
          <w:tcPr>
            <w:tcW w:w="5103"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eastAsia="zh-CN"/>
              </w:rPr>
            </w:pPr>
            <w:r>
              <w:rPr>
                <w:rFonts w:hint="eastAsia" w:ascii="楷体" w:hAnsi="楷体" w:eastAsia="楷体" w:cs="楷体"/>
                <w:bCs/>
                <w:color w:val="000000"/>
                <w:sz w:val="24"/>
                <w:szCs w:val="24"/>
              </w:rPr>
              <w:t>期末考试</w:t>
            </w:r>
            <w:r>
              <w:rPr>
                <w:rFonts w:hint="eastAsia" w:ascii="楷体" w:hAnsi="楷体" w:eastAsia="楷体" w:cs="楷体"/>
                <w:bCs/>
                <w:color w:val="000000"/>
                <w:sz w:val="24"/>
                <w:szCs w:val="24"/>
                <w:lang w:eastAsia="zh-CN"/>
              </w:rPr>
              <w:t>（全校统考）</w:t>
            </w:r>
          </w:p>
        </w:tc>
        <w:tc>
          <w:tcPr>
            <w:tcW w:w="2127"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val="en-US" w:eastAsia="zh-CN"/>
              </w:rPr>
            </w:pPr>
            <w:r>
              <w:rPr>
                <w:rFonts w:hint="eastAsia" w:ascii="楷体" w:hAnsi="楷体" w:eastAsia="楷体" w:cs="楷体"/>
                <w:bCs/>
                <w:color w:val="000000"/>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X1</w:t>
            </w:r>
          </w:p>
        </w:tc>
        <w:tc>
          <w:tcPr>
            <w:tcW w:w="5103"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eastAsia="zh-CN"/>
              </w:rPr>
            </w:pPr>
            <w:r>
              <w:rPr>
                <w:rFonts w:hint="eastAsia" w:ascii="楷体" w:hAnsi="楷体" w:eastAsia="楷体" w:cs="楷体"/>
                <w:bCs/>
                <w:color w:val="000000"/>
                <w:sz w:val="24"/>
                <w:szCs w:val="24"/>
              </w:rPr>
              <w:t>随堂测验1</w:t>
            </w:r>
            <w:r>
              <w:rPr>
                <w:rFonts w:hint="eastAsia" w:ascii="楷体" w:hAnsi="楷体" w:eastAsia="楷体" w:cs="楷体"/>
                <w:bCs/>
                <w:color w:val="000000"/>
                <w:sz w:val="24"/>
                <w:szCs w:val="24"/>
                <w:lang w:eastAsia="zh-CN"/>
              </w:rPr>
              <w:t>（</w:t>
            </w:r>
            <w:r>
              <w:rPr>
                <w:rFonts w:hint="eastAsia" w:ascii="楷体" w:hAnsi="楷体" w:eastAsia="楷体" w:cs="楷体"/>
                <w:bCs/>
                <w:color w:val="000000"/>
                <w:sz w:val="24"/>
                <w:szCs w:val="24"/>
                <w:lang w:val="en-US" w:eastAsia="zh-CN"/>
              </w:rPr>
              <w:t>7周随堂考</w:t>
            </w:r>
            <w:r>
              <w:rPr>
                <w:rFonts w:hint="eastAsia" w:ascii="楷体" w:hAnsi="楷体" w:eastAsia="楷体" w:cs="楷体"/>
                <w:bCs/>
                <w:color w:val="000000"/>
                <w:sz w:val="24"/>
                <w:szCs w:val="24"/>
                <w:lang w:eastAsia="zh-CN"/>
              </w:rPr>
              <w:t>）</w:t>
            </w:r>
          </w:p>
        </w:tc>
        <w:tc>
          <w:tcPr>
            <w:tcW w:w="2127"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val="en-US" w:eastAsia="zh-CN"/>
              </w:rPr>
            </w:pPr>
            <w:r>
              <w:rPr>
                <w:rFonts w:hint="eastAsia" w:ascii="楷体" w:hAnsi="楷体" w:eastAsia="楷体" w:cs="楷体"/>
                <w:bCs/>
                <w:color w:val="00000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rPr>
            </w:pPr>
            <w:r>
              <w:rPr>
                <w:rFonts w:hint="eastAsia" w:ascii="楷体" w:hAnsi="楷体" w:eastAsia="楷体" w:cs="楷体"/>
                <w:bCs/>
                <w:color w:val="000000"/>
                <w:sz w:val="24"/>
                <w:szCs w:val="24"/>
                <w:highlight w:val="none"/>
              </w:rPr>
              <w:t>X2</w:t>
            </w:r>
          </w:p>
        </w:tc>
        <w:tc>
          <w:tcPr>
            <w:tcW w:w="5103"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eastAsia="zh-CN"/>
              </w:rPr>
            </w:pPr>
            <w:r>
              <w:rPr>
                <w:rFonts w:hint="eastAsia" w:ascii="楷体" w:hAnsi="楷体" w:eastAsia="楷体" w:cs="楷体"/>
                <w:bCs/>
                <w:color w:val="000000"/>
                <w:sz w:val="24"/>
                <w:szCs w:val="24"/>
              </w:rPr>
              <w:t>随堂测验</w:t>
            </w:r>
            <w:r>
              <w:rPr>
                <w:rFonts w:hint="eastAsia" w:ascii="楷体" w:hAnsi="楷体" w:eastAsia="楷体" w:cs="楷体"/>
                <w:bCs/>
                <w:color w:val="000000"/>
                <w:sz w:val="24"/>
                <w:szCs w:val="24"/>
                <w:lang w:val="en-US" w:eastAsia="zh-CN"/>
              </w:rPr>
              <w:t>2（14周随堂考）</w:t>
            </w:r>
          </w:p>
        </w:tc>
        <w:tc>
          <w:tcPr>
            <w:tcW w:w="2127"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val="en-US" w:eastAsia="zh-CN"/>
              </w:rPr>
            </w:pPr>
            <w:r>
              <w:rPr>
                <w:rFonts w:hint="eastAsia" w:ascii="楷体" w:hAnsi="楷体" w:eastAsia="楷体" w:cs="楷体"/>
                <w:bCs/>
                <w:color w:val="00000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val="en-US" w:eastAsia="zh-CN"/>
              </w:rPr>
            </w:pPr>
            <w:r>
              <w:rPr>
                <w:rFonts w:hint="eastAsia" w:ascii="楷体" w:hAnsi="楷体" w:eastAsia="楷体" w:cs="楷体"/>
                <w:bCs/>
                <w:color w:val="000000"/>
                <w:sz w:val="24"/>
                <w:szCs w:val="24"/>
                <w:highlight w:val="none"/>
                <w:lang w:val="en-US" w:eastAsia="zh-CN"/>
              </w:rPr>
              <w:t>X3</w:t>
            </w:r>
          </w:p>
        </w:tc>
        <w:tc>
          <w:tcPr>
            <w:tcW w:w="5103"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eastAsia="zh-CN"/>
              </w:rPr>
            </w:pPr>
            <w:r>
              <w:rPr>
                <w:rFonts w:hint="eastAsia" w:ascii="楷体" w:hAnsi="楷体" w:eastAsia="楷体" w:cs="楷体"/>
                <w:bCs/>
                <w:color w:val="000000"/>
                <w:sz w:val="24"/>
                <w:szCs w:val="24"/>
                <w:lang w:val="en-US" w:eastAsia="zh-CN"/>
              </w:rPr>
              <w:t>专题讨论</w:t>
            </w:r>
          </w:p>
        </w:tc>
        <w:tc>
          <w:tcPr>
            <w:tcW w:w="2127" w:type="dxa"/>
            <w:noWrap w:val="0"/>
            <w:vAlign w:val="top"/>
          </w:tcPr>
          <w:p>
            <w:pPr>
              <w:snapToGrid w:val="0"/>
              <w:spacing w:beforeLines="50" w:afterLines="50" w:line="360" w:lineRule="auto"/>
              <w:jc w:val="center"/>
              <w:rPr>
                <w:rFonts w:hint="eastAsia" w:ascii="楷体" w:hAnsi="楷体" w:eastAsia="楷体" w:cs="楷体"/>
                <w:bCs/>
                <w:color w:val="000000"/>
                <w:sz w:val="24"/>
                <w:szCs w:val="24"/>
                <w:highlight w:val="none"/>
                <w:lang w:val="en-US" w:eastAsia="zh-CN"/>
              </w:rPr>
            </w:pPr>
            <w:r>
              <w:rPr>
                <w:rFonts w:hint="eastAsia" w:ascii="楷体" w:hAnsi="楷体" w:eastAsia="楷体" w:cs="楷体"/>
                <w:bCs/>
                <w:color w:val="000000"/>
                <w:sz w:val="24"/>
                <w:szCs w:val="24"/>
                <w:lang w:val="en-US" w:eastAsia="zh-CN"/>
              </w:rPr>
              <w:t>10%</w:t>
            </w:r>
          </w:p>
        </w:tc>
      </w:tr>
    </w:tbl>
    <w:p>
      <w:pPr>
        <w:keepNext w:val="0"/>
        <w:keepLines w:val="0"/>
        <w:pageBreakBefore w:val="0"/>
        <w:numPr>
          <w:ilvl w:val="0"/>
          <w:numId w:val="0"/>
        </w:numPr>
        <w:kinsoku/>
        <w:wordWrap/>
        <w:overflowPunct/>
        <w:topLinePunct w:val="0"/>
        <w:autoSpaceDE/>
        <w:autoSpaceDN/>
        <w:bidi w:val="0"/>
        <w:snapToGrid w:val="0"/>
        <w:spacing w:line="360" w:lineRule="auto"/>
        <w:ind w:right="2520" w:rightChars="0"/>
        <w:rPr>
          <w:rFonts w:hint="eastAsia" w:ascii="黑体" w:hAnsi="宋体" w:eastAsia="黑体"/>
          <w:sz w:val="24"/>
          <w:highlight w:val="none"/>
          <w:lang w:eastAsia="zh-CN"/>
        </w:rPr>
      </w:pPr>
      <w:bookmarkStart w:id="1" w:name="_GoBack"/>
      <w:bookmarkEnd w:id="1"/>
    </w:p>
    <w:p>
      <w:pPr>
        <w:keepNext w:val="0"/>
        <w:keepLines w:val="0"/>
        <w:pageBreakBefore w:val="0"/>
        <w:numPr>
          <w:ilvl w:val="0"/>
          <w:numId w:val="2"/>
        </w:numPr>
        <w:kinsoku/>
        <w:wordWrap/>
        <w:overflowPunct/>
        <w:topLinePunct w:val="0"/>
        <w:autoSpaceDE/>
        <w:autoSpaceDN/>
        <w:bidi w:val="0"/>
        <w:snapToGrid w:val="0"/>
        <w:spacing w:line="360" w:lineRule="auto"/>
        <w:ind w:right="2520" w:firstLine="480" w:firstLineChars="200"/>
        <w:rPr>
          <w:rFonts w:hint="eastAsia" w:ascii="黑体" w:hAnsi="宋体" w:eastAsia="黑体"/>
          <w:sz w:val="24"/>
          <w:highlight w:val="none"/>
          <w:lang w:eastAsia="zh-CN"/>
        </w:rPr>
      </w:pPr>
      <w:r>
        <w:rPr>
          <w:rFonts w:hint="eastAsia" w:ascii="黑体" w:hAnsi="宋体" w:eastAsia="黑体"/>
          <w:sz w:val="24"/>
          <w:highlight w:val="none"/>
          <w:lang w:eastAsia="zh-CN"/>
        </w:rPr>
        <w:t>课程思政预期成果及成果表现形式</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lang w:eastAsia="zh-CN"/>
        </w:rPr>
      </w:pPr>
      <w:r>
        <w:rPr>
          <w:rFonts w:hint="eastAsia"/>
          <w:lang w:eastAsia="zh-CN"/>
        </w:rPr>
        <w:t>立足学科特色挖掘课程思政资源，推动社会主义核心价值观融入本课程，建设示范教学课件、教学案例和教学实践体系。将社会主义核心价值观融入到课程的教学体系中，通过国际政治经济新闻报道，帮助学生更好地理解社会主义核心价值观在现实的生活、学习与工作中的重要意义。</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lang w:eastAsia="zh-CN"/>
        </w:rPr>
      </w:pPr>
      <w:r>
        <w:rPr>
          <w:rFonts w:hint="eastAsia"/>
          <w:lang w:eastAsia="zh-CN"/>
        </w:rPr>
        <w:t>教学案例：开展围绕“改革开放以来新中国的对外开放成就”来进行对外贸易、对外投资、人民币国际化、区域一体化等各个层面的国际政治经济新闻报道，搜集相关数据和媒体报道，以小组为单位在课堂上进行发言、分享心得。</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lang w:eastAsia="zh-CN"/>
        </w:rPr>
      </w:pPr>
      <w:r>
        <w:rPr>
          <w:rFonts w:hint="eastAsia"/>
          <w:lang w:eastAsia="zh-CN"/>
        </w:rPr>
        <w:t>课程安排学生就《专题1：中美贸易战的政治经济分析》和《专题2：人民币国际化的政治经济因素分析》，采用开放经济政治学的范式进行资料搜集、新闻报道解读、分析，并进行课堂汇报和讨论。</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sz w:val="20"/>
          <w:szCs w:val="20"/>
          <w:highlight w:val="none"/>
          <w:lang w:eastAsia="zh-CN"/>
        </w:rPr>
      </w:pPr>
      <w:r>
        <w:rPr>
          <w:rFonts w:hint="eastAsia"/>
          <w:lang w:eastAsia="zh-CN"/>
        </w:rPr>
        <w:t>通过课堂分享，增强学生的国际视野、国家荣誉感、自豪感，坚定学生对社会主义制度的道路自信、文化自信、制度自信和理论自信。</w:t>
      </w:r>
    </w:p>
    <w:p>
      <w:pPr>
        <w:snapToGrid w:val="0"/>
        <w:spacing w:line="360" w:lineRule="auto"/>
        <w:rPr>
          <w:rFonts w:hint="eastAsia"/>
          <w:sz w:val="28"/>
          <w:szCs w:val="28"/>
          <w:highlight w:val="none"/>
        </w:rPr>
      </w:pPr>
    </w:p>
    <w:p>
      <w:pPr>
        <w:snapToGrid w:val="0"/>
        <w:spacing w:line="360" w:lineRule="auto"/>
        <w:rPr>
          <w:rFonts w:hint="eastAsia"/>
          <w:sz w:val="28"/>
          <w:szCs w:val="28"/>
          <w:highlight w:val="none"/>
          <w:lang w:val="en-US" w:eastAsia="zh-CN"/>
        </w:rPr>
      </w:pPr>
      <w:r>
        <w:rPr>
          <w:rFonts w:hint="eastAsia"/>
          <w:sz w:val="28"/>
          <w:szCs w:val="28"/>
          <w:highlight w:val="none"/>
        </w:rPr>
        <w:t>撰写人：</w:t>
      </w:r>
      <w:r>
        <w:rPr>
          <w:rFonts w:hint="eastAsia"/>
          <w:sz w:val="28"/>
          <w:szCs w:val="28"/>
          <w:highlight w:val="none"/>
          <w:lang w:val="en-US" w:eastAsia="zh-CN"/>
        </w:rPr>
        <w:drawing>
          <wp:inline distT="0" distB="0" distL="114300" distR="114300">
            <wp:extent cx="1241425" cy="284480"/>
            <wp:effectExtent l="0" t="0" r="3175" b="7620"/>
            <wp:docPr id="3" name="图片 3" descr="9ce630959ae34f5bb1ca6a22f1e16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e630959ae34f5bb1ca6a22f1e16cd8"/>
                    <pic:cNvPicPr>
                      <a:picLocks noChangeAspect="1"/>
                    </pic:cNvPicPr>
                  </pic:nvPicPr>
                  <pic:blipFill>
                    <a:blip r:embed="rId6"/>
                    <a:stretch>
                      <a:fillRect/>
                    </a:stretch>
                  </pic:blipFill>
                  <pic:spPr>
                    <a:xfrm>
                      <a:off x="0" y="0"/>
                      <a:ext cx="1241425" cy="284480"/>
                    </a:xfrm>
                    <a:prstGeom prst="rect">
                      <a:avLst/>
                    </a:prstGeom>
                  </pic:spPr>
                </pic:pic>
              </a:graphicData>
            </a:graphic>
          </wp:inline>
        </w:drawing>
      </w:r>
      <w:r>
        <w:rPr>
          <w:rFonts w:hint="eastAsia"/>
          <w:sz w:val="28"/>
          <w:szCs w:val="28"/>
          <w:highlight w:val="none"/>
          <w:lang w:val="en-US" w:eastAsia="zh-CN"/>
        </w:rPr>
        <w:t xml:space="preserve">          </w:t>
      </w:r>
      <w:r>
        <w:rPr>
          <w:rFonts w:hint="eastAsia"/>
          <w:sz w:val="28"/>
          <w:szCs w:val="28"/>
          <w:highlight w:val="none"/>
        </w:rPr>
        <w:t>系主任审核签名：</w:t>
      </w:r>
      <w:r>
        <w:rPr>
          <w:rFonts w:hint="eastAsia"/>
          <w:sz w:val="28"/>
          <w:szCs w:val="28"/>
          <w:highlight w:val="none"/>
          <w:lang w:val="en-US" w:eastAsia="zh-CN"/>
        </w:rPr>
        <w:drawing>
          <wp:inline distT="0" distB="0" distL="114300" distR="114300">
            <wp:extent cx="940435" cy="369570"/>
            <wp:effectExtent l="0" t="0" r="12065" b="0"/>
            <wp:docPr id="4" name="图片 4" descr="微信图片_2019090219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2190543"/>
                    <pic:cNvPicPr>
                      <a:picLocks noChangeAspect="1"/>
                    </pic:cNvPicPr>
                  </pic:nvPicPr>
                  <pic:blipFill>
                    <a:blip r:embed="rId7"/>
                    <a:stretch>
                      <a:fillRect/>
                    </a:stretch>
                  </pic:blipFill>
                  <pic:spPr>
                    <a:xfrm>
                      <a:off x="0" y="0"/>
                      <a:ext cx="940435" cy="369570"/>
                    </a:xfrm>
                    <a:prstGeom prst="rect">
                      <a:avLst/>
                    </a:prstGeom>
                  </pic:spPr>
                </pic:pic>
              </a:graphicData>
            </a:graphic>
          </wp:inline>
        </w:drawing>
      </w:r>
      <w:r>
        <w:rPr>
          <w:rFonts w:hint="eastAsia"/>
          <w:sz w:val="28"/>
          <w:szCs w:val="28"/>
          <w:highlight w:val="none"/>
          <w:lang w:val="en-US" w:eastAsia="zh-CN"/>
        </w:rPr>
        <w:t xml:space="preserve">   </w:t>
      </w:r>
    </w:p>
    <w:p>
      <w:pPr>
        <w:snapToGrid w:val="0"/>
        <w:spacing w:line="360" w:lineRule="auto"/>
        <w:ind w:firstLine="4480" w:firstLineChars="1600"/>
        <w:rPr>
          <w:rFonts w:hint="eastAsia" w:asciiTheme="minorEastAsia" w:hAnsiTheme="minorEastAsia" w:eastAsiaTheme="minorEastAsia" w:cstheme="minorEastAsia"/>
          <w:highlight w:val="none"/>
        </w:rPr>
      </w:pPr>
      <w:r>
        <w:rPr>
          <w:rFonts w:hint="eastAsia"/>
          <w:sz w:val="28"/>
          <w:szCs w:val="28"/>
          <w:highlight w:val="none"/>
        </w:rPr>
        <w:t>审核时间：</w:t>
      </w:r>
      <w:r>
        <w:rPr>
          <w:rFonts w:hint="eastAsia"/>
          <w:sz w:val="28"/>
          <w:szCs w:val="28"/>
          <w:highlight w:val="none"/>
          <w:lang w:val="en-US" w:eastAsia="zh-CN"/>
        </w:rPr>
        <w:t xml:space="preserve"> 2020.02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DF0ABB"/>
    <w:multiLevelType w:val="singleLevel"/>
    <w:tmpl w:val="92DF0ABB"/>
    <w:lvl w:ilvl="0" w:tentative="0">
      <w:start w:val="9"/>
      <w:numFmt w:val="chineseCounting"/>
      <w:suff w:val="nothing"/>
      <w:lvlText w:val="%1、"/>
      <w:lvlJc w:val="left"/>
      <w:rPr>
        <w:rFonts w:hint="eastAsia"/>
      </w:rPr>
    </w:lvl>
  </w:abstractNum>
  <w:abstractNum w:abstractNumId="1">
    <w:nsid w:val="1CC89602"/>
    <w:multiLevelType w:val="singleLevel"/>
    <w:tmpl w:val="1CC8960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0B3B"/>
    <w:rsid w:val="00012D43"/>
    <w:rsid w:val="00040D2F"/>
    <w:rsid w:val="000416E1"/>
    <w:rsid w:val="00050DA0"/>
    <w:rsid w:val="00054D8C"/>
    <w:rsid w:val="00083323"/>
    <w:rsid w:val="000937BC"/>
    <w:rsid w:val="000C5050"/>
    <w:rsid w:val="000C7AD3"/>
    <w:rsid w:val="000D4FF5"/>
    <w:rsid w:val="000D7995"/>
    <w:rsid w:val="001004C1"/>
    <w:rsid w:val="00100D0E"/>
    <w:rsid w:val="00104A76"/>
    <w:rsid w:val="001072BC"/>
    <w:rsid w:val="00117BF6"/>
    <w:rsid w:val="00117EE1"/>
    <w:rsid w:val="00122025"/>
    <w:rsid w:val="001367BA"/>
    <w:rsid w:val="00147DA1"/>
    <w:rsid w:val="00160BD3"/>
    <w:rsid w:val="00173ACF"/>
    <w:rsid w:val="00183D2C"/>
    <w:rsid w:val="00192BB9"/>
    <w:rsid w:val="001A24E8"/>
    <w:rsid w:val="001D0C0B"/>
    <w:rsid w:val="001F2FC3"/>
    <w:rsid w:val="001F48A3"/>
    <w:rsid w:val="001F7C07"/>
    <w:rsid w:val="00201544"/>
    <w:rsid w:val="00205420"/>
    <w:rsid w:val="00211F26"/>
    <w:rsid w:val="002160BF"/>
    <w:rsid w:val="00221BE7"/>
    <w:rsid w:val="0023214B"/>
    <w:rsid w:val="00243974"/>
    <w:rsid w:val="00254EBA"/>
    <w:rsid w:val="00255769"/>
    <w:rsid w:val="00256B39"/>
    <w:rsid w:val="0026033C"/>
    <w:rsid w:val="00263ABA"/>
    <w:rsid w:val="00282A5B"/>
    <w:rsid w:val="002B1C62"/>
    <w:rsid w:val="002B292B"/>
    <w:rsid w:val="002B6B8B"/>
    <w:rsid w:val="002C1BDF"/>
    <w:rsid w:val="002C5B25"/>
    <w:rsid w:val="002E3721"/>
    <w:rsid w:val="003055F9"/>
    <w:rsid w:val="00313BBA"/>
    <w:rsid w:val="0032602E"/>
    <w:rsid w:val="003276B4"/>
    <w:rsid w:val="00331F5E"/>
    <w:rsid w:val="003367AE"/>
    <w:rsid w:val="003367E4"/>
    <w:rsid w:val="00344B7D"/>
    <w:rsid w:val="00347E9F"/>
    <w:rsid w:val="003774EC"/>
    <w:rsid w:val="003911FF"/>
    <w:rsid w:val="00397E32"/>
    <w:rsid w:val="003A0C78"/>
    <w:rsid w:val="003A4250"/>
    <w:rsid w:val="003A5BD7"/>
    <w:rsid w:val="003B1258"/>
    <w:rsid w:val="003B3312"/>
    <w:rsid w:val="003B3E24"/>
    <w:rsid w:val="003B59D2"/>
    <w:rsid w:val="003C4D2F"/>
    <w:rsid w:val="003C515F"/>
    <w:rsid w:val="003C6541"/>
    <w:rsid w:val="003C6B33"/>
    <w:rsid w:val="003F31AA"/>
    <w:rsid w:val="00400BDB"/>
    <w:rsid w:val="004100B0"/>
    <w:rsid w:val="004314A2"/>
    <w:rsid w:val="0043307B"/>
    <w:rsid w:val="00435170"/>
    <w:rsid w:val="004356F2"/>
    <w:rsid w:val="00444F07"/>
    <w:rsid w:val="00447304"/>
    <w:rsid w:val="00452E72"/>
    <w:rsid w:val="00462B70"/>
    <w:rsid w:val="00466851"/>
    <w:rsid w:val="00470BCF"/>
    <w:rsid w:val="00474664"/>
    <w:rsid w:val="004967A8"/>
    <w:rsid w:val="004A45D6"/>
    <w:rsid w:val="004B2ED3"/>
    <w:rsid w:val="004B2FC2"/>
    <w:rsid w:val="004C5DC8"/>
    <w:rsid w:val="004E21D3"/>
    <w:rsid w:val="004E386E"/>
    <w:rsid w:val="00500243"/>
    <w:rsid w:val="00511DDF"/>
    <w:rsid w:val="0052634F"/>
    <w:rsid w:val="0054278D"/>
    <w:rsid w:val="005439BB"/>
    <w:rsid w:val="005462BD"/>
    <w:rsid w:val="005462D0"/>
    <w:rsid w:val="005467DC"/>
    <w:rsid w:val="005504FC"/>
    <w:rsid w:val="00552606"/>
    <w:rsid w:val="00553D03"/>
    <w:rsid w:val="0056157E"/>
    <w:rsid w:val="00567620"/>
    <w:rsid w:val="00567EBE"/>
    <w:rsid w:val="005763C3"/>
    <w:rsid w:val="005A21D2"/>
    <w:rsid w:val="005A4221"/>
    <w:rsid w:val="005A4901"/>
    <w:rsid w:val="005B2B6D"/>
    <w:rsid w:val="005B3B26"/>
    <w:rsid w:val="005B3CDA"/>
    <w:rsid w:val="005B4B4E"/>
    <w:rsid w:val="005B56E9"/>
    <w:rsid w:val="005C00D2"/>
    <w:rsid w:val="005C0494"/>
    <w:rsid w:val="005D5920"/>
    <w:rsid w:val="0060778E"/>
    <w:rsid w:val="00624FE1"/>
    <w:rsid w:val="00643D9B"/>
    <w:rsid w:val="00657FB1"/>
    <w:rsid w:val="00673896"/>
    <w:rsid w:val="00681224"/>
    <w:rsid w:val="00685392"/>
    <w:rsid w:val="0068617F"/>
    <w:rsid w:val="006A6E36"/>
    <w:rsid w:val="006A7B1B"/>
    <w:rsid w:val="006B356E"/>
    <w:rsid w:val="006E3DE2"/>
    <w:rsid w:val="006E3F51"/>
    <w:rsid w:val="006F0E56"/>
    <w:rsid w:val="006F1591"/>
    <w:rsid w:val="00703EE6"/>
    <w:rsid w:val="007069CD"/>
    <w:rsid w:val="00714001"/>
    <w:rsid w:val="007208D6"/>
    <w:rsid w:val="00746F09"/>
    <w:rsid w:val="00750881"/>
    <w:rsid w:val="0075387E"/>
    <w:rsid w:val="007550B7"/>
    <w:rsid w:val="00755FFB"/>
    <w:rsid w:val="007618BC"/>
    <w:rsid w:val="007725A7"/>
    <w:rsid w:val="007766DA"/>
    <w:rsid w:val="007B1D14"/>
    <w:rsid w:val="007E6A2B"/>
    <w:rsid w:val="007F0FBF"/>
    <w:rsid w:val="00800539"/>
    <w:rsid w:val="00807EDD"/>
    <w:rsid w:val="00836E9D"/>
    <w:rsid w:val="00845860"/>
    <w:rsid w:val="008552D0"/>
    <w:rsid w:val="008643F5"/>
    <w:rsid w:val="00864DEC"/>
    <w:rsid w:val="008651AA"/>
    <w:rsid w:val="0088610B"/>
    <w:rsid w:val="00897215"/>
    <w:rsid w:val="008A1ACC"/>
    <w:rsid w:val="008B397C"/>
    <w:rsid w:val="008B47F4"/>
    <w:rsid w:val="008B6A93"/>
    <w:rsid w:val="008C070C"/>
    <w:rsid w:val="008D09E4"/>
    <w:rsid w:val="008D15D5"/>
    <w:rsid w:val="008F4E1A"/>
    <w:rsid w:val="008F7E5D"/>
    <w:rsid w:val="00900019"/>
    <w:rsid w:val="009032F8"/>
    <w:rsid w:val="00912519"/>
    <w:rsid w:val="009171F8"/>
    <w:rsid w:val="00927A1C"/>
    <w:rsid w:val="0093257A"/>
    <w:rsid w:val="0093322A"/>
    <w:rsid w:val="009533B3"/>
    <w:rsid w:val="00961A37"/>
    <w:rsid w:val="00983126"/>
    <w:rsid w:val="00985830"/>
    <w:rsid w:val="0099063E"/>
    <w:rsid w:val="009A4186"/>
    <w:rsid w:val="009A4AAE"/>
    <w:rsid w:val="009C240A"/>
    <w:rsid w:val="009D26F1"/>
    <w:rsid w:val="009E4E83"/>
    <w:rsid w:val="009E54B7"/>
    <w:rsid w:val="009F22DE"/>
    <w:rsid w:val="009F6704"/>
    <w:rsid w:val="00A25776"/>
    <w:rsid w:val="00A43DEE"/>
    <w:rsid w:val="00A47363"/>
    <w:rsid w:val="00A55956"/>
    <w:rsid w:val="00A60DDE"/>
    <w:rsid w:val="00A67697"/>
    <w:rsid w:val="00A75555"/>
    <w:rsid w:val="00A769B1"/>
    <w:rsid w:val="00A861B2"/>
    <w:rsid w:val="00A91200"/>
    <w:rsid w:val="00A92533"/>
    <w:rsid w:val="00AB241A"/>
    <w:rsid w:val="00AC3611"/>
    <w:rsid w:val="00AC4C45"/>
    <w:rsid w:val="00AC5D66"/>
    <w:rsid w:val="00AE092A"/>
    <w:rsid w:val="00AE48D2"/>
    <w:rsid w:val="00B36172"/>
    <w:rsid w:val="00B414FE"/>
    <w:rsid w:val="00B46F21"/>
    <w:rsid w:val="00B511A5"/>
    <w:rsid w:val="00B545E1"/>
    <w:rsid w:val="00B6394C"/>
    <w:rsid w:val="00B66C23"/>
    <w:rsid w:val="00B7259C"/>
    <w:rsid w:val="00B736A7"/>
    <w:rsid w:val="00B7508F"/>
    <w:rsid w:val="00B7651F"/>
    <w:rsid w:val="00B841ED"/>
    <w:rsid w:val="00BA7CD9"/>
    <w:rsid w:val="00BB0DCE"/>
    <w:rsid w:val="00BB19B3"/>
    <w:rsid w:val="00BB4327"/>
    <w:rsid w:val="00BD0204"/>
    <w:rsid w:val="00BE4CB1"/>
    <w:rsid w:val="00BE7611"/>
    <w:rsid w:val="00C03DBF"/>
    <w:rsid w:val="00C342DA"/>
    <w:rsid w:val="00C56E09"/>
    <w:rsid w:val="00C63953"/>
    <w:rsid w:val="00C93D18"/>
    <w:rsid w:val="00CA0F4D"/>
    <w:rsid w:val="00CB098B"/>
    <w:rsid w:val="00CB1D77"/>
    <w:rsid w:val="00CD1E77"/>
    <w:rsid w:val="00CD2F4F"/>
    <w:rsid w:val="00CE5444"/>
    <w:rsid w:val="00CE6014"/>
    <w:rsid w:val="00CE6B73"/>
    <w:rsid w:val="00CF096B"/>
    <w:rsid w:val="00D378B6"/>
    <w:rsid w:val="00D62965"/>
    <w:rsid w:val="00DA2B74"/>
    <w:rsid w:val="00DD42EE"/>
    <w:rsid w:val="00DF675E"/>
    <w:rsid w:val="00E16D30"/>
    <w:rsid w:val="00E33169"/>
    <w:rsid w:val="00E55EB0"/>
    <w:rsid w:val="00E60420"/>
    <w:rsid w:val="00E67451"/>
    <w:rsid w:val="00E70904"/>
    <w:rsid w:val="00E8599E"/>
    <w:rsid w:val="00E85D40"/>
    <w:rsid w:val="00E8788E"/>
    <w:rsid w:val="00E97283"/>
    <w:rsid w:val="00EA67EE"/>
    <w:rsid w:val="00EB4656"/>
    <w:rsid w:val="00EC35FE"/>
    <w:rsid w:val="00EE2E02"/>
    <w:rsid w:val="00EE3E06"/>
    <w:rsid w:val="00EE5C33"/>
    <w:rsid w:val="00EF44B1"/>
    <w:rsid w:val="00EF69FC"/>
    <w:rsid w:val="00F01E2D"/>
    <w:rsid w:val="00F036F2"/>
    <w:rsid w:val="00F06FF8"/>
    <w:rsid w:val="00F10332"/>
    <w:rsid w:val="00F35AA0"/>
    <w:rsid w:val="00F45CB0"/>
    <w:rsid w:val="00F46B04"/>
    <w:rsid w:val="00F47AA0"/>
    <w:rsid w:val="00F67E59"/>
    <w:rsid w:val="00F74F49"/>
    <w:rsid w:val="00F8447D"/>
    <w:rsid w:val="00F96038"/>
    <w:rsid w:val="00FB1A3F"/>
    <w:rsid w:val="00FC05F0"/>
    <w:rsid w:val="00FC4B1E"/>
    <w:rsid w:val="00FF21D9"/>
    <w:rsid w:val="024B0C39"/>
    <w:rsid w:val="0A8128A6"/>
    <w:rsid w:val="0B2B04FE"/>
    <w:rsid w:val="0BF32A1B"/>
    <w:rsid w:val="10BD2C22"/>
    <w:rsid w:val="1D1204EC"/>
    <w:rsid w:val="21AE4AB9"/>
    <w:rsid w:val="22987C80"/>
    <w:rsid w:val="22E04E22"/>
    <w:rsid w:val="239B7FED"/>
    <w:rsid w:val="24192CCC"/>
    <w:rsid w:val="27834B8F"/>
    <w:rsid w:val="2B2666A6"/>
    <w:rsid w:val="2C162759"/>
    <w:rsid w:val="30173A69"/>
    <w:rsid w:val="31BF3B9C"/>
    <w:rsid w:val="39A66CD4"/>
    <w:rsid w:val="3CD52CE1"/>
    <w:rsid w:val="3D926F5D"/>
    <w:rsid w:val="410F2E6A"/>
    <w:rsid w:val="430C48FC"/>
    <w:rsid w:val="4430136C"/>
    <w:rsid w:val="445D2D15"/>
    <w:rsid w:val="459D29EB"/>
    <w:rsid w:val="473F6FE5"/>
    <w:rsid w:val="474C2516"/>
    <w:rsid w:val="4AB0382B"/>
    <w:rsid w:val="4C4A63D2"/>
    <w:rsid w:val="4E9E57CC"/>
    <w:rsid w:val="52A73073"/>
    <w:rsid w:val="569868B5"/>
    <w:rsid w:val="58C06B91"/>
    <w:rsid w:val="5D4005E3"/>
    <w:rsid w:val="5E8857BA"/>
    <w:rsid w:val="611F6817"/>
    <w:rsid w:val="61956EE9"/>
    <w:rsid w:val="62360F85"/>
    <w:rsid w:val="652B390E"/>
    <w:rsid w:val="66CA1754"/>
    <w:rsid w:val="674D3E74"/>
    <w:rsid w:val="6F1E65D4"/>
    <w:rsid w:val="6F266C86"/>
    <w:rsid w:val="6F3B6A66"/>
    <w:rsid w:val="6F5042C2"/>
    <w:rsid w:val="6FB35C1F"/>
    <w:rsid w:val="74316312"/>
    <w:rsid w:val="766B4DF8"/>
    <w:rsid w:val="780F13C8"/>
    <w:rsid w:val="7C385448"/>
    <w:rsid w:val="7D2F2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unhideWhenUsed/>
    <w:qFormat/>
    <w:uiPriority w:val="99"/>
    <w:pPr>
      <w:ind w:firstLine="420" w:firstLineChars="200"/>
    </w:pPr>
  </w:style>
  <w:style w:type="character" w:customStyle="1" w:styleId="11">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98BEE-89E6-4032-90F0-109B5DBE9426}">
  <ds:schemaRefs/>
</ds:datastoreItem>
</file>

<file path=docProps/app.xml><?xml version="1.0" encoding="utf-8"?>
<Properties xmlns="http://schemas.openxmlformats.org/officeDocument/2006/extended-properties" xmlns:vt="http://schemas.openxmlformats.org/officeDocument/2006/docPropsVTypes">
  <Template>Normal</Template>
  <Pages>16</Pages>
  <Words>1251</Words>
  <Characters>7132</Characters>
  <Lines>59</Lines>
  <Paragraphs>16</Paragraphs>
  <TotalTime>0</TotalTime>
  <ScaleCrop>false</ScaleCrop>
  <LinksUpToDate>false</LinksUpToDate>
  <CharactersWithSpaces>8367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2017-10-05T07:54:00Z</dcterms:created>
  <dc:creator>juvg</dc:creator>
  <cp:lastModifiedBy>Adam Cai</cp:lastModifiedBy>
  <cp:lastPrinted>2019-02-23T14:20:00Z</cp:lastPrinted>
  <dcterms:modified xsi:type="dcterms:W3CDTF">2020-03-01T23:38:23Z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