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hint="eastAsia"/>
          <w:sz w:val="6"/>
          <w:szCs w:val="6"/>
        </w:rPr>
      </w:pPr>
    </w:p>
    <w:p>
      <w:pPr>
        <w:snapToGrid w:val="0"/>
        <w:jc w:val="center"/>
        <w:rPr>
          <w:rFonts w:hint="eastAsia"/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2030238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沪语与上海文化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0"/>
                <w:szCs w:val="20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辛勤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14006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6新闻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1、2班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时间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 xml:space="preserve"> :</w:t>
            </w:r>
            <w:r>
              <w:rPr>
                <w:rFonts w:ascii="黑体" w:hAnsi="黑体" w:eastAsia="黑体"/>
                <w:kern w:val="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周二1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：40—1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 xml:space="preserve">：00 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地点: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2号楼210</w:t>
            </w:r>
            <w:r>
              <w:rPr>
                <w:rFonts w:ascii="黑体" w:hAnsi="黑体" w:eastAsia="黑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黑体" w:hAnsi="黑体" w:eastAsia="黑体"/>
                <w:kern w:val="0"/>
                <w:sz w:val="20"/>
                <w:szCs w:val="20"/>
              </w:rPr>
              <w:t>电话：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68191288</w:t>
            </w:r>
            <w:r>
              <w:rPr>
                <w:rFonts w:ascii="黑体" w:hAnsi="黑体" w:eastAsia="黑体"/>
                <w:kern w:val="0"/>
                <w:sz w:val="20"/>
                <w:szCs w:val="20"/>
              </w:rPr>
              <w:t>地点: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2号楼210</w:t>
            </w:r>
            <w:r>
              <w:rPr>
                <w:rFonts w:ascii="黑体" w:hAnsi="黑体" w:eastAsia="黑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黑体" w:hAnsi="黑体" w:eastAsia="黑体"/>
                <w:kern w:val="0"/>
                <w:sz w:val="20"/>
                <w:szCs w:val="20"/>
              </w:rPr>
              <w:t>电话：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68191288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主教材【《新版自学上海话》，阮恒辉，上海大学出版社2009年增订版】</w:t>
            </w:r>
          </w:p>
          <w:p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辅助教材【《海派文化概览》，张颖，上海人民出版社2008年版】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《新上海人说上海话》，钱乃荣，上海大学出版社20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年增订版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92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2896"/>
        <w:gridCol w:w="2131"/>
        <w:gridCol w:w="1739"/>
        <w:gridCol w:w="16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作业（备注）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绪  言及海派文化基础导论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本课要求及知识点概述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</w:rPr>
              <w:t>绪  言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及海派文化基础导论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上海文化主题之一“墙”的导入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讲解、示范、演绎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center" w:pos="1184"/>
                <w:tab w:val="right" w:pos="2248"/>
              </w:tabs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上海方言音系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上海方言中“声母”音系及发音训练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讲解、示范、案例演绎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上海方言音系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上海发言中“韵母”音系及发音训练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讲授、讨论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上海方言音系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综合发音方法“五度发音法”概说及训练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讲授、讨论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进程性作业1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lang w:eastAsia="zh-CN"/>
              </w:rPr>
              <w:t>上海方言词汇概说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俗语俚语趣谈 导入文化主题之二“界”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lang w:eastAsia="zh-CN"/>
              </w:rPr>
              <w:t>上海方言词汇概说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细说外来语 深入导入文化主题之二“界”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讲授、讨论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进程性作业（观后感）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  <w:lang w:eastAsia="zh-CN"/>
              </w:rPr>
              <w:t>上海方言词汇概说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计数词序数词及人称与称谓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上海方言语法与句法（草论）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句法练习（1单元）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全篇观赏实验及情景会话练习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上海方言语法与句法（草论）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句法练习（2 3单元）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上海方言语法与句法（草论）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句法练习（45单元）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上海民俗流变及田野调查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3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参观“上海市历史博物馆”或专题馆“上海电信历史博物馆”并导入文化主题之三“河”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需专业讲解，故需与馆藏方机动安排时间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上海民俗流变及田野调查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3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上机实践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完成参观作业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上海民俗流变及田野调查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田野调查撰写讲授与辅导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案例讲解、分享交流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上海民俗流变及田野调查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田野调查撰写与展示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分享与交流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机动一周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配合参观调整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</w:tbl>
    <w:p>
      <w:pPr>
        <w:snapToGrid w:val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W w:w="694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48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期末考试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关于上海文化的学理性论文一篇（3000字）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作业（“外滩”观后感）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进程型作业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——乡土文化调研作业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上海历史文化景观田野调查报告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</w:t>
            </w: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eastAsia="zh-CN"/>
              </w:rPr>
              <w:t>进程性作业——博物馆考察报告（观后感）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辛勤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马玉瑛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      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201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年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月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9E01375"/>
    <w:rsid w:val="0B02141F"/>
    <w:rsid w:val="0DB76A4A"/>
    <w:rsid w:val="199D2E85"/>
    <w:rsid w:val="1B9B294B"/>
    <w:rsid w:val="2E59298A"/>
    <w:rsid w:val="34A83749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1</TotalTime>
  <ScaleCrop>false</ScaleCrop>
  <LinksUpToDate>false</LinksUpToDate>
  <CharactersWithSpaces>1208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111111</cp:lastModifiedBy>
  <cp:lastPrinted>2015-03-18T03:45:00Z</cp:lastPrinted>
  <dcterms:modified xsi:type="dcterms:W3CDTF">2018-10-08T11:43:31Z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