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rFonts w:ascii="方正小标宋简体" w:hAnsi="宋体"/>
          <w:bCs/>
          <w:kern w:val="0"/>
          <w:szCs w:val="21"/>
        </w:rPr>
      </w:pPr>
      <w:r>
        <w:pict>
          <v:shape id="文本框 1" o:spid="_x0000_s1026" o:spt="202" type="#_x0000_t202" style="position:absolute;left:0pt;margin-left:41.8pt;margin-top:27.55pt;height:22.1pt;width:207.5pt;mso-position-horizontal-relative:page;mso-position-vertical-relative:page;z-index:251658240;mso-width-relative:page;mso-height-relative:page;" stroked="f" coordsize="21600,21600"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v:path/>
            <v:fill focussize="0,0"/>
            <v:stroke on="f" weight="0.5pt" joinstyle="miter"/>
            <v:imagedata o:title=""/>
            <o:lock v:ext="edit"/>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w:r>
      <w:r>
        <w:rPr>
          <w:rFonts w:hint="eastAsia" w:asciiTheme="minorEastAsia" w:hAnsiTheme="minorEastAsia" w:eastAsiaTheme="minorEastAsia"/>
          <w:bCs/>
          <w:kern w:val="0"/>
          <w:sz w:val="40"/>
          <w:szCs w:val="40"/>
        </w:rPr>
        <w:t xml:space="preserve">      </w:t>
      </w:r>
      <w:bookmarkStart w:id="1" w:name="_GoBack"/>
      <w:bookmarkEnd w:id="1"/>
    </w:p>
    <w:p>
      <w:pPr>
        <w:spacing w:line="288" w:lineRule="auto"/>
        <w:jc w:val="center"/>
        <w:rPr>
          <w:b/>
          <w:sz w:val="28"/>
          <w:szCs w:val="30"/>
        </w:rPr>
      </w:pPr>
      <w:r>
        <w:rPr>
          <w:rFonts w:hint="eastAsia"/>
          <w:b/>
          <w:sz w:val="28"/>
          <w:szCs w:val="30"/>
        </w:rPr>
        <w:t>【法律基础】</w:t>
      </w:r>
    </w:p>
    <w:p>
      <w:pPr>
        <w:shd w:val="clear" w:color="auto" w:fill="F5F5F5"/>
        <w:jc w:val="center"/>
        <w:textAlignment w:val="top"/>
        <w:rPr>
          <w:rFonts w:ascii="Arial" w:hAnsi="Arial" w:cs="Arial"/>
          <w:color w:val="888888"/>
          <w:kern w:val="0"/>
          <w:sz w:val="20"/>
          <w:szCs w:val="20"/>
        </w:rPr>
      </w:pPr>
      <w:r>
        <w:rPr>
          <w:rFonts w:hint="eastAsia"/>
          <w:b/>
          <w:sz w:val="28"/>
          <w:szCs w:val="30"/>
        </w:rPr>
        <w:t>【</w:t>
      </w:r>
      <w:r>
        <w:rPr>
          <w:b/>
          <w:sz w:val="28"/>
          <w:szCs w:val="30"/>
        </w:rPr>
        <w:t xml:space="preserve">Introduction to </w:t>
      </w:r>
      <w:r>
        <w:rPr>
          <w:rFonts w:hint="eastAsia"/>
          <w:b/>
          <w:sz w:val="28"/>
          <w:szCs w:val="30"/>
        </w:rPr>
        <w:t>Law】</w:t>
      </w:r>
      <w:bookmarkStart w:id="0" w:name="a2"/>
      <w:bookmarkEnd w:id="0"/>
    </w:p>
    <w:p>
      <w:pPr>
        <w:spacing w:beforeLines="50"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基本信息（必填项）</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2030366</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18级秘书</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rFonts w:hint="eastAsia"/>
          <w:color w:val="000000"/>
          <w:sz w:val="20"/>
          <w:szCs w:val="20"/>
        </w:rPr>
        <w:t>专业选修课</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新闻传播学院</w:t>
      </w:r>
    </w:p>
    <w:p>
      <w:pPr>
        <w:snapToGrid w:val="0"/>
        <w:spacing w:line="288" w:lineRule="auto"/>
        <w:ind w:firstLine="394" w:firstLineChars="196"/>
        <w:rPr>
          <w:b/>
          <w:bCs/>
          <w:color w:val="000000"/>
          <w:sz w:val="20"/>
          <w:szCs w:val="20"/>
        </w:rPr>
      </w:pPr>
      <w:r>
        <w:rPr>
          <w:b/>
          <w:bCs/>
          <w:color w:val="000000"/>
          <w:sz w:val="20"/>
          <w:szCs w:val="20"/>
        </w:rPr>
        <w:t>使用教材：</w:t>
      </w:r>
    </w:p>
    <w:p>
      <w:pPr>
        <w:snapToGrid w:val="0"/>
        <w:spacing w:line="288" w:lineRule="auto"/>
        <w:ind w:firstLine="392" w:firstLineChars="196"/>
        <w:rPr>
          <w:color w:val="000000"/>
          <w:sz w:val="20"/>
          <w:szCs w:val="20"/>
        </w:rPr>
      </w:pPr>
      <w:r>
        <w:rPr>
          <w:rFonts w:hint="eastAsia"/>
          <w:color w:val="000000"/>
          <w:sz w:val="20"/>
          <w:szCs w:val="20"/>
        </w:rPr>
        <w:t>教材：</w:t>
      </w:r>
      <w:r>
        <w:rPr>
          <w:color w:val="000000"/>
          <w:sz w:val="20"/>
          <w:szCs w:val="20"/>
        </w:rPr>
        <w:t>【</w:t>
      </w:r>
      <w:r>
        <w:rPr>
          <w:rFonts w:hint="eastAsia"/>
          <w:color w:val="000000"/>
          <w:sz w:val="20"/>
          <w:szCs w:val="20"/>
        </w:rPr>
        <w:t>《法律基础》，徐磊主编，华东师范大学出版社，最新版</w:t>
      </w:r>
      <w:r>
        <w:rPr>
          <w:color w:val="000000"/>
          <w:sz w:val="20"/>
          <w:szCs w:val="20"/>
        </w:rPr>
        <w:t>】</w:t>
      </w:r>
    </w:p>
    <w:p>
      <w:pPr>
        <w:snapToGrid w:val="0"/>
        <w:spacing w:line="288" w:lineRule="auto"/>
        <w:ind w:firstLine="392" w:firstLineChars="196"/>
        <w:rPr>
          <w:color w:val="000000"/>
          <w:sz w:val="20"/>
          <w:szCs w:val="20"/>
        </w:rPr>
      </w:pPr>
      <w:r>
        <w:rPr>
          <w:color w:val="000000"/>
          <w:sz w:val="20"/>
          <w:szCs w:val="20"/>
        </w:rPr>
        <w:t>参考</w:t>
      </w:r>
      <w:r>
        <w:rPr>
          <w:rFonts w:hint="eastAsia"/>
          <w:color w:val="000000"/>
          <w:sz w:val="20"/>
          <w:szCs w:val="20"/>
        </w:rPr>
        <w:t>书目</w:t>
      </w:r>
      <w:r>
        <w:rPr>
          <w:color w:val="000000"/>
          <w:sz w:val="20"/>
          <w:szCs w:val="20"/>
        </w:rPr>
        <w:t>【</w:t>
      </w:r>
      <w:r>
        <w:rPr>
          <w:rFonts w:hint="eastAsia"/>
          <w:color w:val="000000"/>
          <w:sz w:val="20"/>
          <w:szCs w:val="20"/>
        </w:rPr>
        <w:t>1.《法学概论教学案例解析》，徐磊、陈梅主编，上海交通大学出版社，最新版</w:t>
      </w:r>
      <w:r>
        <w:rPr>
          <w:color w:val="000000"/>
          <w:sz w:val="20"/>
          <w:szCs w:val="20"/>
        </w:rPr>
        <w:t>】</w:t>
      </w:r>
    </w:p>
    <w:p>
      <w:pPr>
        <w:snapToGrid w:val="0"/>
        <w:ind w:firstLine="700" w:firstLineChars="350"/>
        <w:rPr>
          <w:color w:val="000000"/>
          <w:sz w:val="20"/>
          <w:szCs w:val="20"/>
        </w:rPr>
      </w:pPr>
      <w:r>
        <w:rPr>
          <w:rFonts w:hint="eastAsia"/>
          <w:color w:val="000000"/>
          <w:sz w:val="20"/>
          <w:szCs w:val="20"/>
        </w:rPr>
        <w:t xml:space="preserve">     </w:t>
      </w:r>
      <w:r>
        <w:rPr>
          <w:color w:val="000000"/>
          <w:sz w:val="20"/>
          <w:szCs w:val="20"/>
        </w:rPr>
        <w:t>【</w:t>
      </w:r>
      <w:r>
        <w:rPr>
          <w:rFonts w:hint="eastAsia"/>
          <w:color w:val="000000"/>
          <w:sz w:val="20"/>
          <w:szCs w:val="20"/>
        </w:rPr>
        <w:t>2.《法律基础》，鲁晓慧著，水利水电出版社，最新版</w:t>
      </w:r>
      <w:r>
        <w:rPr>
          <w:color w:val="000000"/>
          <w:sz w:val="20"/>
          <w:szCs w:val="20"/>
        </w:rPr>
        <w:t>】</w:t>
      </w:r>
    </w:p>
    <w:p>
      <w:pPr>
        <w:snapToGrid w:val="0"/>
        <w:spacing w:line="288" w:lineRule="auto"/>
        <w:ind w:firstLine="392" w:firstLineChars="196"/>
        <w:rPr>
          <w:color w:val="000000"/>
          <w:sz w:val="20"/>
          <w:szCs w:val="20"/>
        </w:rPr>
      </w:pPr>
      <w:r>
        <w:rPr>
          <w:rFonts w:hint="eastAsia"/>
          <w:color w:val="000000"/>
          <w:sz w:val="20"/>
          <w:szCs w:val="20"/>
        </w:rPr>
        <w:t xml:space="preserve">        </w:t>
      </w:r>
      <w:r>
        <w:rPr>
          <w:color w:val="000000"/>
          <w:sz w:val="20"/>
          <w:szCs w:val="20"/>
        </w:rPr>
        <w:t>【</w:t>
      </w:r>
      <w:r>
        <w:rPr>
          <w:rFonts w:hint="eastAsia"/>
          <w:color w:val="000000"/>
          <w:sz w:val="20"/>
          <w:szCs w:val="20"/>
        </w:rPr>
        <w:t>3.《法律基础》，魏胜强编著，科学出版社，最新版</w:t>
      </w:r>
      <w:r>
        <w:rPr>
          <w:color w:val="000000"/>
          <w:sz w:val="20"/>
          <w:szCs w:val="20"/>
        </w:rPr>
        <w:t>】</w:t>
      </w:r>
    </w:p>
    <w:p>
      <w:pPr>
        <w:snapToGrid w:val="0"/>
        <w:spacing w:line="288" w:lineRule="auto"/>
        <w:ind w:firstLine="392" w:firstLineChars="196"/>
        <w:rPr>
          <w:color w:val="000000"/>
          <w:sz w:val="20"/>
          <w:szCs w:val="20"/>
        </w:rPr>
      </w:pPr>
      <w:r>
        <w:rPr>
          <w:rFonts w:hint="eastAsia"/>
          <w:color w:val="000000"/>
          <w:sz w:val="20"/>
          <w:szCs w:val="20"/>
        </w:rPr>
        <w:t xml:space="preserve">        </w:t>
      </w:r>
      <w:r>
        <w:rPr>
          <w:color w:val="000000"/>
          <w:sz w:val="20"/>
          <w:szCs w:val="20"/>
        </w:rPr>
        <w:t>【</w:t>
      </w:r>
      <w:r>
        <w:rPr>
          <w:rFonts w:hint="eastAsia"/>
          <w:color w:val="000000"/>
          <w:sz w:val="20"/>
          <w:szCs w:val="20"/>
        </w:rPr>
        <w:t>4.《法律基础教学案例》，倪新兵著，北京大学出版社，最新版</w:t>
      </w:r>
      <w:r>
        <w:rPr>
          <w:color w:val="000000"/>
          <w:sz w:val="20"/>
          <w:szCs w:val="20"/>
        </w:rPr>
        <w:t>】</w:t>
      </w:r>
    </w:p>
    <w:p>
      <w:pPr>
        <w:snapToGrid w:val="0"/>
        <w:spacing w:line="288" w:lineRule="auto"/>
        <w:ind w:firstLine="394" w:firstLineChars="196"/>
        <w:rPr>
          <w:b/>
          <w:bCs/>
          <w:color w:val="000000"/>
          <w:sz w:val="20"/>
          <w:szCs w:val="20"/>
        </w:rPr>
      </w:pPr>
      <w:r>
        <w:rPr>
          <w:rFonts w:hint="eastAsia"/>
          <w:b/>
          <w:bCs/>
          <w:color w:val="000000"/>
          <w:sz w:val="20"/>
          <w:szCs w:val="20"/>
        </w:rPr>
        <w:t>课程网站网址：</w:t>
      </w:r>
    </w:p>
    <w:p>
      <w:pPr>
        <w:snapToGrid w:val="0"/>
        <w:spacing w:line="288" w:lineRule="auto"/>
        <w:ind w:firstLine="392" w:firstLineChars="196"/>
        <w:rPr>
          <w:color w:val="000000"/>
          <w:sz w:val="20"/>
          <w:szCs w:val="20"/>
        </w:rPr>
      </w:pPr>
      <w:r>
        <w:rPr>
          <w:color w:val="000000"/>
          <w:sz w:val="20"/>
          <w:szCs w:val="20"/>
        </w:rPr>
        <w:t>https://elearning.gench.edu.cn:8443/webapps/bb-group-mgmt-LEARN/execute/groupInventoryList?course_id=_14344_1&amp;mode=cpview</w:t>
      </w:r>
    </w:p>
    <w:p>
      <w:pPr>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 xml:space="preserve">思想道德修养与法律基础 </w:t>
      </w:r>
      <w:r>
        <w:rPr>
          <w:color w:val="000000"/>
          <w:sz w:val="20"/>
          <w:szCs w:val="20"/>
        </w:rPr>
        <w:t>2110014</w:t>
      </w:r>
      <w:r>
        <w:rPr>
          <w:rFonts w:hint="eastAsia"/>
          <w:color w:val="000000"/>
          <w:sz w:val="20"/>
          <w:szCs w:val="20"/>
        </w:rPr>
        <w:t xml:space="preserve"> 学分3分</w:t>
      </w:r>
      <w:r>
        <w:rPr>
          <w:color w:val="000000"/>
          <w:sz w:val="20"/>
          <w:szCs w:val="20"/>
        </w:rPr>
        <w:t>】</w:t>
      </w:r>
    </w:p>
    <w:p>
      <w:pPr>
        <w:adjustRightInd w:val="0"/>
        <w:snapToGrid w:val="0"/>
        <w:spacing w:beforeLines="50"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课程简介（必填项）</w:t>
      </w:r>
    </w:p>
    <w:p>
      <w:pPr>
        <w:snapToGrid w:val="0"/>
        <w:spacing w:line="288" w:lineRule="auto"/>
        <w:ind w:firstLine="400" w:firstLineChars="200"/>
        <w:rPr>
          <w:bCs/>
          <w:sz w:val="20"/>
          <w:szCs w:val="20"/>
        </w:rPr>
      </w:pPr>
      <w:r>
        <w:rPr>
          <w:rFonts w:hint="eastAsia"/>
          <w:bCs/>
          <w:sz w:val="20"/>
          <w:szCs w:val="20"/>
        </w:rPr>
        <w:t>《法律基础》</w:t>
      </w:r>
      <w:r>
        <w:rPr>
          <w:bCs/>
          <w:sz w:val="20"/>
          <w:szCs w:val="20"/>
        </w:rPr>
        <w:t>是</w:t>
      </w:r>
      <w:r>
        <w:rPr>
          <w:rFonts w:hint="eastAsia"/>
          <w:bCs/>
          <w:sz w:val="20"/>
          <w:szCs w:val="20"/>
        </w:rPr>
        <w:t>秘书</w:t>
      </w:r>
      <w:r>
        <w:rPr>
          <w:bCs/>
          <w:sz w:val="20"/>
          <w:szCs w:val="20"/>
        </w:rPr>
        <w:t>学专业的专业</w:t>
      </w:r>
      <w:r>
        <w:rPr>
          <w:rFonts w:hint="eastAsia"/>
          <w:bCs/>
          <w:sz w:val="20"/>
          <w:szCs w:val="20"/>
        </w:rPr>
        <w:t>选修</w:t>
      </w:r>
      <w:r>
        <w:rPr>
          <w:bCs/>
          <w:sz w:val="20"/>
          <w:szCs w:val="20"/>
        </w:rPr>
        <w:t>课程，</w:t>
      </w:r>
      <w:r>
        <w:rPr>
          <w:rFonts w:hint="eastAsia"/>
          <w:bCs/>
          <w:sz w:val="20"/>
          <w:szCs w:val="20"/>
        </w:rPr>
        <w:t>本课程概要论述法学基本原理和基本知识。通过本课程的学习，要求学生概要地掌握法学的一般原理，了解我国宪法及其他法律的主要规定，增强法律意识和法制观念，并能够运用所学法律知识解决实际生活中存在的一般法律问题，初步培养学生基础的法律分析能力和思维能力。</w:t>
      </w:r>
    </w:p>
    <w:p>
      <w:pPr>
        <w:snapToGrid w:val="0"/>
        <w:spacing w:line="288" w:lineRule="auto"/>
        <w:ind w:firstLine="400" w:firstLineChars="200"/>
        <w:rPr>
          <w:color w:val="000000"/>
          <w:sz w:val="20"/>
          <w:szCs w:val="20"/>
        </w:rPr>
      </w:pPr>
      <w:r>
        <w:rPr>
          <w:rFonts w:hint="eastAsia"/>
          <w:bCs/>
          <w:sz w:val="20"/>
          <w:szCs w:val="20"/>
        </w:rPr>
        <w:t>法律基础课程在文秘课程中的重要性还表现在它同其他课程的联系上，例如，经济法部分同经济学、企业管理、会计学等课程密切联系；行政法部分同行政学、管理学相互依存。</w:t>
      </w: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选课建议（必填项）</w:t>
      </w:r>
    </w:p>
    <w:p>
      <w:pPr>
        <w:snapToGrid w:val="0"/>
        <w:spacing w:line="288" w:lineRule="auto"/>
        <w:ind w:firstLine="400" w:firstLineChars="200"/>
        <w:rPr>
          <w:color w:val="000000"/>
          <w:sz w:val="20"/>
          <w:szCs w:val="20"/>
        </w:rPr>
      </w:pPr>
      <w:r>
        <w:rPr>
          <w:rFonts w:hint="eastAsia"/>
          <w:bCs/>
          <w:sz w:val="20"/>
          <w:szCs w:val="20"/>
        </w:rPr>
        <w:t>本课程是该学科基础性选修课程，建议秘书学专业三年级学生学习。学习法律基础，应以一定的哲学等社会科学知识为基础，同时，为学习其他有关课程或法律课程奠定法学知识基础。因此，法律基础课程的开设时间原则上应放在哲学、政治经济学等基本的公共基础课之后。</w:t>
      </w:r>
    </w:p>
    <w:p>
      <w:pPr>
        <w:snapToGrid w:val="0"/>
        <w:spacing w:line="288" w:lineRule="auto"/>
        <w:ind w:firstLine="400" w:firstLineChars="200"/>
        <w:rPr>
          <w:color w:val="000000"/>
          <w:sz w:val="20"/>
          <w:szCs w:val="20"/>
        </w:rPr>
      </w:pPr>
    </w:p>
    <w:p>
      <w:pPr>
        <w:widowControl/>
        <w:spacing w:beforeLines="50"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highlight w:val="yellow"/>
        </w:rPr>
        <w:t>专业毕业要求</w:t>
      </w:r>
      <w:r>
        <w:rPr>
          <w:rFonts w:ascii="黑体" w:hAnsi="宋体" w:eastAsia="黑体"/>
          <w:sz w:val="24"/>
        </w:rPr>
        <w:t>的关联性（必填项）</w:t>
      </w:r>
    </w:p>
    <w:tbl>
      <w:tblPr>
        <w:tblStyle w:val="5"/>
        <w:tblW w:w="8429" w:type="dxa"/>
        <w:tblInd w:w="93" w:type="dxa"/>
        <w:tblLayout w:type="fixed"/>
        <w:tblCellMar>
          <w:top w:w="0" w:type="dxa"/>
          <w:left w:w="108" w:type="dxa"/>
          <w:bottom w:w="0" w:type="dxa"/>
          <w:right w:w="108" w:type="dxa"/>
        </w:tblCellMar>
      </w:tblPr>
      <w:tblGrid>
        <w:gridCol w:w="700"/>
        <w:gridCol w:w="900"/>
        <w:gridCol w:w="3435"/>
        <w:gridCol w:w="3394"/>
      </w:tblGrid>
      <w:tr>
        <w:tblPrEx>
          <w:tblLayout w:type="fixed"/>
          <w:tblCellMar>
            <w:top w:w="0" w:type="dxa"/>
            <w:left w:w="108" w:type="dxa"/>
            <w:bottom w:w="0" w:type="dxa"/>
            <w:right w:w="108" w:type="dxa"/>
          </w:tblCellMar>
        </w:tblPrEx>
        <w:trPr>
          <w:trHeight w:val="720" w:hRule="atLeast"/>
        </w:trPr>
        <w:tc>
          <w:tcPr>
            <w:tcW w:w="700"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L011</w:t>
            </w:r>
          </w:p>
        </w:tc>
        <w:tc>
          <w:tcPr>
            <w:tcW w:w="90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kern w:val="0"/>
                <w:sz w:val="22"/>
              </w:rPr>
            </w:pPr>
            <w:r>
              <w:rPr>
                <w:rFonts w:hint="eastAsia" w:ascii="宋体" w:hAnsi="宋体" w:cs="宋体"/>
                <w:color w:val="000000"/>
                <w:kern w:val="0"/>
                <w:sz w:val="22"/>
              </w:rPr>
              <w:t>LO112</w:t>
            </w:r>
          </w:p>
        </w:tc>
        <w:tc>
          <w:tcPr>
            <w:tcW w:w="343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应用书面或口头形式，阐释自己的观点，有效沟通。</w:t>
            </w:r>
          </w:p>
        </w:tc>
        <w:tc>
          <w:tcPr>
            <w:tcW w:w="3394" w:type="dxa"/>
            <w:tcBorders>
              <w:top w:val="single" w:color="auto" w:sz="4" w:space="0"/>
              <w:left w:val="nil"/>
              <w:bottom w:val="single" w:color="auto" w:sz="4" w:space="0"/>
              <w:right w:val="single" w:color="auto" w:sz="4" w:space="0"/>
            </w:tcBorders>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t>
            </w:r>
          </w:p>
        </w:tc>
      </w:tr>
      <w:tr>
        <w:tblPrEx>
          <w:tblLayout w:type="fixed"/>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2"/>
              </w:rPr>
            </w:pPr>
            <w:r>
              <w:rPr>
                <w:rFonts w:hint="eastAsia" w:ascii="宋体" w:hAnsi="宋体" w:cs="宋体"/>
                <w:color w:val="000000"/>
                <w:kern w:val="0"/>
                <w:sz w:val="22"/>
              </w:rPr>
              <w:t>LO31</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辅助决策</w:t>
            </w:r>
          </w:p>
        </w:tc>
        <w:tc>
          <w:tcPr>
            <w:tcW w:w="3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收集、处理信息，调查研究，能够辅助领导确定决策目标、拟定及实施决策方案，及时向领导反馈落实情况。</w:t>
            </w:r>
          </w:p>
        </w:tc>
        <w:tc>
          <w:tcPr>
            <w:tcW w:w="3394" w:type="dxa"/>
            <w:tcBorders>
              <w:top w:val="nil"/>
              <w:left w:val="nil"/>
              <w:bottom w:val="single" w:color="auto" w:sz="4" w:space="0"/>
              <w:right w:val="single" w:color="auto" w:sz="4" w:space="0"/>
            </w:tcBorders>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t>
            </w:r>
          </w:p>
        </w:tc>
      </w:tr>
      <w:tr>
        <w:tblPrEx>
          <w:tblLayout w:type="fixed"/>
          <w:tblCellMar>
            <w:top w:w="0" w:type="dxa"/>
            <w:left w:w="108" w:type="dxa"/>
            <w:bottom w:w="0" w:type="dxa"/>
            <w:right w:w="108" w:type="dxa"/>
          </w:tblCellMar>
        </w:tblPrEx>
        <w:trPr>
          <w:trHeight w:val="720" w:hRule="atLeast"/>
        </w:trPr>
        <w:tc>
          <w:tcPr>
            <w:tcW w:w="700" w:type="dxa"/>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sz w:val="22"/>
              </w:rPr>
            </w:pPr>
            <w:r>
              <w:rPr>
                <w:rFonts w:hint="eastAsia" w:ascii="宋体" w:hAnsi="宋体" w:cs="宋体"/>
                <w:color w:val="000000"/>
                <w:kern w:val="0"/>
                <w:sz w:val="22"/>
              </w:rPr>
              <w:t>L035</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sz w:val="20"/>
                <w:szCs w:val="20"/>
              </w:rPr>
            </w:pPr>
            <w:r>
              <w:rPr>
                <w:rFonts w:hint="eastAsia" w:ascii="宋体" w:hAnsi="宋体" w:cs="宋体"/>
                <w:color w:val="000000"/>
                <w:kern w:val="0"/>
                <w:sz w:val="22"/>
              </w:rPr>
              <w:t>文书拟写及处理</w:t>
            </w:r>
          </w:p>
        </w:tc>
        <w:tc>
          <w:tcPr>
            <w:tcW w:w="3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sz w:val="20"/>
                <w:szCs w:val="20"/>
              </w:rPr>
            </w:pPr>
            <w:r>
              <w:rPr>
                <w:rFonts w:hint="eastAsia" w:ascii="宋体" w:hAnsi="宋体" w:cs="宋体"/>
                <w:color w:val="000000"/>
                <w:kern w:val="0"/>
                <w:sz w:val="20"/>
                <w:szCs w:val="20"/>
              </w:rPr>
              <w:t>了解文书基础知识，拟写常用法定公文，拟写常用礼仪文书，拟写常用事务文书，拟写常用商务文书，处理收文与发文，管理文书等。</w:t>
            </w:r>
          </w:p>
        </w:tc>
        <w:tc>
          <w:tcPr>
            <w:tcW w:w="3394" w:type="dxa"/>
            <w:tcBorders>
              <w:top w:val="nil"/>
              <w:left w:val="nil"/>
              <w:bottom w:val="single" w:color="auto" w:sz="4" w:space="0"/>
              <w:right w:val="single" w:color="auto" w:sz="4" w:space="0"/>
            </w:tcBorders>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w:t>
            </w:r>
          </w:p>
        </w:tc>
      </w:tr>
      <w:tr>
        <w:tblPrEx>
          <w:tblLayout w:type="fixed"/>
          <w:tblCellMar>
            <w:top w:w="0" w:type="dxa"/>
            <w:left w:w="108" w:type="dxa"/>
            <w:bottom w:w="0" w:type="dxa"/>
            <w:right w:w="108" w:type="dxa"/>
          </w:tblCellMar>
        </w:tblPrEx>
        <w:trPr>
          <w:trHeight w:val="510" w:hRule="atLeast"/>
        </w:trPr>
        <w:tc>
          <w:tcPr>
            <w:tcW w:w="7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2"/>
              </w:rPr>
            </w:pPr>
            <w:r>
              <w:rPr>
                <w:rFonts w:hint="eastAsia" w:ascii="宋体" w:hAnsi="宋体" w:cs="宋体"/>
                <w:color w:val="000000"/>
                <w:kern w:val="0"/>
                <w:sz w:val="22"/>
              </w:rPr>
              <w:t>L041</w:t>
            </w: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LO411</w:t>
            </w:r>
          </w:p>
        </w:tc>
        <w:tc>
          <w:tcPr>
            <w:tcW w:w="3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遵纪守法：遵守校纪校规，具备法律意识。</w:t>
            </w:r>
          </w:p>
        </w:tc>
        <w:tc>
          <w:tcPr>
            <w:tcW w:w="3394" w:type="dxa"/>
            <w:tcBorders>
              <w:top w:val="nil"/>
              <w:left w:val="nil"/>
              <w:bottom w:val="single" w:color="auto" w:sz="4" w:space="0"/>
              <w:right w:val="single" w:color="auto" w:sz="4" w:space="0"/>
            </w:tcBorders>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w:t>
            </w:r>
          </w:p>
        </w:tc>
      </w:tr>
      <w:tr>
        <w:tblPrEx>
          <w:tblLayout w:type="fixed"/>
          <w:tblCellMar>
            <w:top w:w="0" w:type="dxa"/>
            <w:left w:w="108" w:type="dxa"/>
            <w:bottom w:w="0" w:type="dxa"/>
            <w:right w:w="108" w:type="dxa"/>
          </w:tblCellMar>
        </w:tblPrEx>
        <w:trPr>
          <w:trHeight w:val="510" w:hRule="atLeast"/>
        </w:trPr>
        <w:tc>
          <w:tcPr>
            <w:tcW w:w="7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LO412</w:t>
            </w:r>
          </w:p>
        </w:tc>
        <w:tc>
          <w:tcPr>
            <w:tcW w:w="3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诚实守信：为人诚实，信守承诺，尽职尽责。</w:t>
            </w:r>
          </w:p>
        </w:tc>
        <w:tc>
          <w:tcPr>
            <w:tcW w:w="3394" w:type="dxa"/>
            <w:tcBorders>
              <w:top w:val="nil"/>
              <w:left w:val="nil"/>
              <w:bottom w:val="single" w:color="auto" w:sz="4" w:space="0"/>
              <w:right w:val="single" w:color="auto" w:sz="4" w:space="0"/>
            </w:tcBorders>
          </w:tcPr>
          <w:p>
            <w:pPr>
              <w:widowControl/>
              <w:jc w:val="left"/>
              <w:rPr>
                <w:rFonts w:ascii="宋体" w:hAnsi="宋体" w:cs="宋体"/>
                <w:color w:val="FF0000"/>
                <w:kern w:val="0"/>
                <w:sz w:val="20"/>
                <w:szCs w:val="20"/>
              </w:rPr>
            </w:pPr>
          </w:p>
        </w:tc>
      </w:tr>
      <w:tr>
        <w:tblPrEx>
          <w:tblLayout w:type="fixed"/>
          <w:tblCellMar>
            <w:top w:w="0" w:type="dxa"/>
            <w:left w:w="108" w:type="dxa"/>
            <w:bottom w:w="0" w:type="dxa"/>
            <w:right w:w="108" w:type="dxa"/>
          </w:tblCellMar>
        </w:tblPrEx>
        <w:trPr>
          <w:trHeight w:val="960" w:hRule="atLeast"/>
        </w:trPr>
        <w:tc>
          <w:tcPr>
            <w:tcW w:w="7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LO413</w:t>
            </w:r>
          </w:p>
        </w:tc>
        <w:tc>
          <w:tcPr>
            <w:tcW w:w="3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FF0000"/>
                <w:kern w:val="0"/>
                <w:sz w:val="20"/>
                <w:szCs w:val="20"/>
              </w:rPr>
            </w:pPr>
            <w:r>
              <w:rPr>
                <w:rFonts w:hint="eastAsia" w:ascii="宋体" w:hAnsi="宋体" w:cs="宋体"/>
                <w:color w:val="FF0000"/>
                <w:kern w:val="0"/>
                <w:sz w:val="20"/>
                <w:szCs w:val="20"/>
              </w:rPr>
              <w:t>爱岗敬业：了解与专业相关的法律法规，充分认识本专业就业岗位在社会经济中的作用和地位，在学习和社会实践中遵守职业规范，具备职业道德操守。</w:t>
            </w:r>
          </w:p>
        </w:tc>
        <w:tc>
          <w:tcPr>
            <w:tcW w:w="3394" w:type="dxa"/>
            <w:tcBorders>
              <w:top w:val="nil"/>
              <w:left w:val="nil"/>
              <w:bottom w:val="single" w:color="auto" w:sz="4" w:space="0"/>
              <w:right w:val="single" w:color="auto" w:sz="4" w:space="0"/>
            </w:tcBorders>
          </w:tcPr>
          <w:p>
            <w:pPr>
              <w:widowControl/>
              <w:jc w:val="left"/>
              <w:rPr>
                <w:rFonts w:ascii="宋体" w:hAnsi="宋体" w:cs="宋体"/>
                <w:color w:val="FF0000"/>
                <w:kern w:val="0"/>
                <w:sz w:val="20"/>
                <w:szCs w:val="20"/>
              </w:rPr>
            </w:pPr>
          </w:p>
        </w:tc>
      </w:tr>
      <w:tr>
        <w:tblPrEx>
          <w:tblLayout w:type="fixed"/>
          <w:tblCellMar>
            <w:top w:w="0" w:type="dxa"/>
            <w:left w:w="108" w:type="dxa"/>
            <w:bottom w:w="0" w:type="dxa"/>
            <w:right w:w="108" w:type="dxa"/>
          </w:tblCellMar>
        </w:tblPrEx>
        <w:trPr>
          <w:trHeight w:val="510" w:hRule="atLeast"/>
        </w:trPr>
        <w:tc>
          <w:tcPr>
            <w:tcW w:w="70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2"/>
              </w:rPr>
            </w:pPr>
          </w:p>
        </w:tc>
        <w:tc>
          <w:tcPr>
            <w:tcW w:w="9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LO414</w:t>
            </w:r>
          </w:p>
        </w:tc>
        <w:tc>
          <w:tcPr>
            <w:tcW w:w="343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身心健康，能承受学习和生活中的压力。</w:t>
            </w:r>
          </w:p>
        </w:tc>
        <w:tc>
          <w:tcPr>
            <w:tcW w:w="3394" w:type="dxa"/>
            <w:tcBorders>
              <w:top w:val="nil"/>
              <w:left w:val="nil"/>
              <w:bottom w:val="single" w:color="auto" w:sz="4" w:space="0"/>
              <w:right w:val="single" w:color="auto" w:sz="4" w:space="0"/>
            </w:tcBorders>
          </w:tcPr>
          <w:p>
            <w:pPr>
              <w:widowControl/>
              <w:jc w:val="left"/>
              <w:rPr>
                <w:rFonts w:ascii="宋体" w:hAnsi="宋体" w:cs="宋体"/>
                <w:color w:val="000000"/>
                <w:kern w:val="0"/>
                <w:sz w:val="20"/>
                <w:szCs w:val="20"/>
              </w:rPr>
            </w:pPr>
          </w:p>
        </w:tc>
      </w:tr>
    </w:tbl>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highlight w:val="yellow"/>
        </w:rPr>
        <w:t>五、</w:t>
      </w:r>
      <w:r>
        <w:rPr>
          <w:rFonts w:ascii="黑体" w:hAnsi="宋体" w:eastAsia="黑体"/>
          <w:sz w:val="24"/>
          <w:highlight w:val="yellow"/>
        </w:rPr>
        <w:t>课程</w:t>
      </w:r>
      <w:r>
        <w:rPr>
          <w:rFonts w:hint="eastAsia" w:ascii="黑体" w:hAnsi="宋体" w:eastAsia="黑体"/>
          <w:sz w:val="24"/>
          <w:highlight w:val="yellow"/>
        </w:rPr>
        <w:t>目标/课程预期学习成果</w:t>
      </w:r>
      <w:r>
        <w:rPr>
          <w:rFonts w:ascii="黑体" w:hAnsi="宋体" w:eastAsia="黑体"/>
          <w:sz w:val="24"/>
          <w:highlight w:val="yellow"/>
        </w:rPr>
        <w:t>（必填项）（</w:t>
      </w:r>
      <w:r>
        <w:rPr>
          <w:rFonts w:hint="eastAsia" w:ascii="黑体" w:hAnsi="宋体" w:eastAsia="黑体"/>
          <w:sz w:val="24"/>
          <w:highlight w:val="yellow"/>
        </w:rPr>
        <w:t>预期学习成果</w:t>
      </w:r>
      <w:r>
        <w:rPr>
          <w:rFonts w:ascii="黑体" w:hAnsi="宋体" w:eastAsia="黑体"/>
          <w:sz w:val="24"/>
          <w:highlight w:val="yellow"/>
        </w:rPr>
        <w:t>要可测量/能够证明）</w:t>
      </w: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highlight w:val="yellow"/>
              </w:rPr>
              <w:t>（细化的预期学习成果</w:t>
            </w:r>
            <w:r>
              <w:rPr>
                <w:rFonts w:hint="eastAsia"/>
                <w:b/>
                <w:color w:val="000000"/>
                <w:sz w:val="20"/>
                <w:szCs w:val="20"/>
              </w:rPr>
              <w:t>）</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tcPr>
          <w:p>
            <w:r>
              <w:rPr>
                <w:rFonts w:hint="eastAsia" w:ascii="宋体" w:hAnsi="宋体" w:cs="宋体"/>
                <w:color w:val="000000"/>
                <w:kern w:val="0"/>
                <w:sz w:val="22"/>
              </w:rPr>
              <w:t>LO112</w:t>
            </w:r>
          </w:p>
        </w:tc>
        <w:tc>
          <w:tcPr>
            <w:tcW w:w="2470" w:type="dxa"/>
            <w:shd w:val="clear" w:color="auto" w:fill="auto"/>
            <w:vAlign w:val="center"/>
          </w:tcPr>
          <w:p>
            <w:r>
              <w:rPr>
                <w:rFonts w:hint="eastAsia"/>
              </w:rPr>
              <w:t>基于法律判断，应用书面或口头形式，阐释自己的观点。</w:t>
            </w:r>
          </w:p>
        </w:tc>
        <w:tc>
          <w:tcPr>
            <w:tcW w:w="2199"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讲授法</w:t>
            </w:r>
          </w:p>
          <w:p>
            <w:pPr>
              <w:snapToGrid w:val="0"/>
              <w:spacing w:line="288" w:lineRule="auto"/>
              <w:jc w:val="center"/>
              <w:rPr>
                <w:rFonts w:ascii="黑体" w:hAnsi="宋体" w:eastAsia="黑体"/>
                <w:sz w:val="24"/>
              </w:rPr>
            </w:pPr>
            <w:r>
              <w:rPr>
                <w:rFonts w:hint="eastAsia" w:ascii="黑体" w:hAnsi="宋体" w:eastAsia="黑体"/>
                <w:sz w:val="24"/>
              </w:rPr>
              <w:t>案例教学法</w:t>
            </w:r>
          </w:p>
        </w:tc>
        <w:tc>
          <w:tcPr>
            <w:tcW w:w="1276"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作业、提问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trPr>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2</w:t>
            </w:r>
          </w:p>
        </w:tc>
        <w:tc>
          <w:tcPr>
            <w:tcW w:w="117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LO31</w:t>
            </w:r>
          </w:p>
        </w:tc>
        <w:tc>
          <w:tcPr>
            <w:tcW w:w="2470" w:type="dxa"/>
            <w:shd w:val="clear" w:color="auto" w:fill="auto"/>
          </w:tcPr>
          <w:p>
            <w:r>
              <w:rPr>
                <w:rFonts w:hint="eastAsia"/>
              </w:rPr>
              <w:t>收集、处理信息，调查研究，能够应用法律知识，辅助领导确定相关的决策目标。</w:t>
            </w:r>
          </w:p>
        </w:tc>
        <w:tc>
          <w:tcPr>
            <w:tcW w:w="2199"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讲授法</w:t>
            </w:r>
          </w:p>
          <w:p>
            <w:pPr>
              <w:snapToGrid w:val="0"/>
              <w:spacing w:line="288" w:lineRule="auto"/>
              <w:jc w:val="center"/>
              <w:rPr>
                <w:rFonts w:ascii="黑体" w:hAnsi="宋体" w:eastAsia="黑体"/>
                <w:sz w:val="24"/>
              </w:rPr>
            </w:pPr>
            <w:r>
              <w:rPr>
                <w:rFonts w:hint="eastAsia" w:ascii="黑体" w:hAnsi="宋体" w:eastAsia="黑体"/>
                <w:sz w:val="24"/>
              </w:rPr>
              <w:t>案例教学法</w:t>
            </w:r>
          </w:p>
        </w:tc>
        <w:tc>
          <w:tcPr>
            <w:tcW w:w="1276"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作业、提问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3</w:t>
            </w:r>
          </w:p>
        </w:tc>
        <w:tc>
          <w:tcPr>
            <w:tcW w:w="117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L035</w:t>
            </w:r>
          </w:p>
        </w:tc>
        <w:tc>
          <w:tcPr>
            <w:tcW w:w="2470" w:type="dxa"/>
            <w:shd w:val="clear" w:color="auto" w:fill="auto"/>
          </w:tcPr>
          <w:p/>
          <w:p>
            <w:r>
              <w:rPr>
                <w:rFonts w:hint="eastAsia"/>
              </w:rPr>
              <w:t>拟写基础法律文书</w:t>
            </w:r>
          </w:p>
        </w:tc>
        <w:tc>
          <w:tcPr>
            <w:tcW w:w="2199"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讲授法</w:t>
            </w:r>
          </w:p>
          <w:p>
            <w:pPr>
              <w:snapToGrid w:val="0"/>
              <w:spacing w:line="288" w:lineRule="auto"/>
              <w:jc w:val="center"/>
              <w:rPr>
                <w:rFonts w:ascii="黑体" w:hAnsi="宋体" w:eastAsia="黑体"/>
                <w:sz w:val="24"/>
              </w:rPr>
            </w:pPr>
            <w:r>
              <w:rPr>
                <w:rFonts w:hint="eastAsia" w:ascii="黑体" w:hAnsi="宋体" w:eastAsia="黑体"/>
                <w:sz w:val="24"/>
              </w:rPr>
              <w:t>案例教学法</w:t>
            </w:r>
          </w:p>
          <w:p>
            <w:pPr>
              <w:snapToGrid w:val="0"/>
              <w:spacing w:line="288" w:lineRule="auto"/>
              <w:jc w:val="center"/>
              <w:rPr>
                <w:rFonts w:ascii="黑体" w:hAnsi="宋体" w:eastAsia="黑体"/>
                <w:sz w:val="24"/>
              </w:rPr>
            </w:pPr>
            <w:r>
              <w:rPr>
                <w:rFonts w:hint="eastAsia" w:ascii="黑体" w:hAnsi="宋体" w:eastAsia="黑体"/>
                <w:sz w:val="24"/>
              </w:rPr>
              <w:t>诊所式教学法</w:t>
            </w:r>
          </w:p>
        </w:tc>
        <w:tc>
          <w:tcPr>
            <w:tcW w:w="1276"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作业、提问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4</w:t>
            </w:r>
          </w:p>
        </w:tc>
        <w:tc>
          <w:tcPr>
            <w:tcW w:w="1175" w:type="dxa"/>
            <w:shd w:val="clear" w:color="auto" w:fill="auto"/>
            <w:vAlign w:val="center"/>
          </w:tcPr>
          <w:p>
            <w:pPr>
              <w:widowControl/>
              <w:jc w:val="left"/>
              <w:rPr>
                <w:rFonts w:ascii="宋体" w:hAnsi="宋体" w:cs="宋体"/>
                <w:color w:val="000000"/>
                <w:kern w:val="0"/>
                <w:sz w:val="22"/>
              </w:rPr>
            </w:pPr>
            <w:r>
              <w:rPr>
                <w:rFonts w:hint="eastAsia" w:ascii="宋体" w:hAnsi="宋体" w:cs="宋体"/>
                <w:color w:val="000000"/>
                <w:kern w:val="0"/>
                <w:sz w:val="22"/>
              </w:rPr>
              <w:t>LO411</w:t>
            </w:r>
          </w:p>
        </w:tc>
        <w:tc>
          <w:tcPr>
            <w:tcW w:w="2470" w:type="dxa"/>
            <w:shd w:val="clear" w:color="auto" w:fill="auto"/>
          </w:tcPr>
          <w:p>
            <w:r>
              <w:rPr>
                <w:rFonts w:hint="eastAsia"/>
              </w:rPr>
              <w:t>能够在团队合作中主动遵纪守法：遵守校纪校规，具备法律意识。</w:t>
            </w:r>
          </w:p>
        </w:tc>
        <w:tc>
          <w:tcPr>
            <w:tcW w:w="2199" w:type="dxa"/>
            <w:shd w:val="clear" w:color="auto" w:fill="auto"/>
          </w:tcPr>
          <w:p>
            <w:pPr>
              <w:snapToGrid w:val="0"/>
              <w:spacing w:line="288" w:lineRule="auto"/>
              <w:jc w:val="center"/>
              <w:rPr>
                <w:rFonts w:ascii="黑体" w:hAnsi="宋体" w:eastAsia="黑体"/>
                <w:sz w:val="24"/>
              </w:rPr>
            </w:pPr>
          </w:p>
          <w:p>
            <w:pPr>
              <w:snapToGrid w:val="0"/>
              <w:spacing w:line="288" w:lineRule="auto"/>
              <w:jc w:val="center"/>
              <w:rPr>
                <w:rFonts w:ascii="黑体" w:hAnsi="宋体" w:eastAsia="黑体"/>
                <w:sz w:val="24"/>
              </w:rPr>
            </w:pPr>
            <w:r>
              <w:rPr>
                <w:rFonts w:hint="eastAsia" w:ascii="黑体" w:hAnsi="宋体" w:eastAsia="黑体"/>
                <w:sz w:val="24"/>
              </w:rPr>
              <w:t>真实情境教学法</w:t>
            </w:r>
          </w:p>
        </w:tc>
        <w:tc>
          <w:tcPr>
            <w:tcW w:w="1276" w:type="dxa"/>
            <w:shd w:val="clear" w:color="auto" w:fill="auto"/>
          </w:tcPr>
          <w:p>
            <w:pPr>
              <w:snapToGrid w:val="0"/>
              <w:spacing w:line="288" w:lineRule="auto"/>
              <w:jc w:val="center"/>
              <w:rPr>
                <w:rFonts w:ascii="黑体" w:hAnsi="宋体" w:eastAsia="黑体"/>
                <w:sz w:val="24"/>
              </w:rPr>
            </w:pPr>
            <w:r>
              <w:rPr>
                <w:rFonts w:hint="eastAsia" w:ascii="黑体" w:hAnsi="宋体" w:eastAsia="黑体"/>
                <w:sz w:val="24"/>
              </w:rPr>
              <w:t>法庭旁听小结评价</w:t>
            </w:r>
          </w:p>
        </w:tc>
      </w:tr>
    </w:tbl>
    <w:p>
      <w:pPr>
        <w:snapToGrid w:val="0"/>
        <w:spacing w:line="288" w:lineRule="auto"/>
        <w:ind w:left="420" w:leftChars="200"/>
        <w:rPr>
          <w:rFonts w:ascii="黑体" w:hAnsi="宋体" w:eastAsia="黑体"/>
          <w:sz w:val="24"/>
        </w:rPr>
      </w:pPr>
    </w:p>
    <w:p>
      <w:pPr>
        <w:snapToGrid w:val="0"/>
        <w:spacing w:line="288" w:lineRule="auto"/>
        <w:ind w:left="420" w:leftChars="200"/>
        <w:rPr>
          <w:rFonts w:ascii="黑体" w:hAnsi="宋体" w:eastAsia="黑体"/>
          <w:sz w:val="24"/>
        </w:rPr>
      </w:pPr>
    </w:p>
    <w:p>
      <w:pPr>
        <w:snapToGrid w:val="0"/>
        <w:spacing w:line="288" w:lineRule="auto"/>
        <w:ind w:left="420" w:leftChars="200"/>
        <w:rPr>
          <w:rFonts w:ascii="黑体" w:hAnsi="宋体" w:eastAsia="黑体"/>
          <w:sz w:val="24"/>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highlight w:val="yellow"/>
        </w:rPr>
        <w:t>六、</w:t>
      </w:r>
      <w:r>
        <w:rPr>
          <w:rFonts w:ascii="黑体" w:hAnsi="宋体" w:eastAsia="黑体"/>
          <w:sz w:val="24"/>
          <w:highlight w:val="yellow"/>
        </w:rPr>
        <w:t>课程内容（必填项）</w:t>
      </w:r>
    </w:p>
    <w:p>
      <w:pPr>
        <w:snapToGrid w:val="0"/>
        <w:spacing w:line="288" w:lineRule="auto"/>
        <w:ind w:firstLine="400" w:firstLineChars="200"/>
        <w:rPr>
          <w:bCs/>
          <w:sz w:val="20"/>
          <w:szCs w:val="20"/>
        </w:rPr>
      </w:pPr>
      <w:r>
        <w:rPr>
          <w:rFonts w:hint="eastAsia"/>
          <w:bCs/>
          <w:sz w:val="20"/>
          <w:szCs w:val="20"/>
        </w:rPr>
        <w:t>专题一   法学基础理论</w:t>
      </w:r>
    </w:p>
    <w:p>
      <w:pPr>
        <w:snapToGrid w:val="0"/>
        <w:spacing w:line="288" w:lineRule="auto"/>
        <w:ind w:firstLine="400" w:firstLineChars="200"/>
        <w:rPr>
          <w:bCs/>
          <w:sz w:val="20"/>
          <w:szCs w:val="20"/>
        </w:rPr>
      </w:pPr>
      <w:r>
        <w:rPr>
          <w:rFonts w:hint="eastAsia"/>
          <w:bCs/>
          <w:sz w:val="20"/>
          <w:szCs w:val="20"/>
        </w:rPr>
        <w:t>通过学习，了解法学的研究对象和体系，认识马克思主义法学与剥削阶级法学的根本区别，认识法的本质、基本特征、及其发展规律，了解并掌握我国社会主义法的一般原理和我国社会主义法制的基本要求，为学习以后各章奠定理论基础。</w:t>
      </w:r>
    </w:p>
    <w:p>
      <w:pPr>
        <w:snapToGrid w:val="0"/>
        <w:spacing w:line="288" w:lineRule="auto"/>
        <w:ind w:firstLine="400" w:firstLineChars="200"/>
        <w:rPr>
          <w:bCs/>
          <w:sz w:val="20"/>
          <w:szCs w:val="20"/>
        </w:rPr>
      </w:pPr>
      <w:r>
        <w:rPr>
          <w:rFonts w:hint="eastAsia"/>
          <w:bCs/>
          <w:sz w:val="20"/>
          <w:szCs w:val="20"/>
        </w:rPr>
        <w:t>专题二   宪法</w:t>
      </w:r>
    </w:p>
    <w:p>
      <w:pPr>
        <w:snapToGrid w:val="0"/>
        <w:spacing w:line="288" w:lineRule="auto"/>
        <w:ind w:firstLine="400" w:firstLineChars="200"/>
        <w:rPr>
          <w:bCs/>
          <w:sz w:val="20"/>
          <w:szCs w:val="20"/>
        </w:rPr>
      </w:pPr>
      <w:r>
        <w:rPr>
          <w:rFonts w:hint="eastAsia"/>
          <w:bCs/>
          <w:sz w:val="20"/>
          <w:szCs w:val="20"/>
        </w:rPr>
        <w:t>通过学习，掌握宪法的一般原理和我国宪法的基本内容，认识宪法在国家政治生活中的重要地位和作用，懂得如何遵守宪法和监督宪法的实施。</w:t>
      </w:r>
    </w:p>
    <w:p>
      <w:pPr>
        <w:snapToGrid w:val="0"/>
        <w:spacing w:line="288" w:lineRule="auto"/>
        <w:ind w:firstLine="400" w:firstLineChars="200"/>
        <w:rPr>
          <w:bCs/>
          <w:sz w:val="20"/>
          <w:szCs w:val="20"/>
        </w:rPr>
      </w:pPr>
      <w:r>
        <w:rPr>
          <w:rFonts w:hint="eastAsia"/>
          <w:bCs/>
          <w:sz w:val="20"/>
          <w:szCs w:val="20"/>
        </w:rPr>
        <w:t>专题三   行政法和行政诉讼法</w:t>
      </w:r>
    </w:p>
    <w:p>
      <w:pPr>
        <w:snapToGrid w:val="0"/>
        <w:spacing w:line="288" w:lineRule="auto"/>
        <w:ind w:firstLine="400" w:firstLineChars="200"/>
        <w:rPr>
          <w:bCs/>
          <w:sz w:val="20"/>
          <w:szCs w:val="20"/>
        </w:rPr>
      </w:pPr>
      <w:r>
        <w:rPr>
          <w:rFonts w:hint="eastAsia"/>
          <w:bCs/>
          <w:sz w:val="20"/>
          <w:szCs w:val="20"/>
        </w:rPr>
        <w:t>通过学习，了解行政法的概念和调整对象，掌握行政法的基本原则，认识行政主体、行政行为，了解行政程序和行政违法、行政责任和行政制裁。</w:t>
      </w:r>
    </w:p>
    <w:p>
      <w:pPr>
        <w:snapToGrid w:val="0"/>
        <w:spacing w:line="288" w:lineRule="auto"/>
        <w:ind w:firstLine="400" w:firstLineChars="200"/>
        <w:rPr>
          <w:bCs/>
          <w:sz w:val="20"/>
          <w:szCs w:val="20"/>
        </w:rPr>
      </w:pPr>
      <w:r>
        <w:rPr>
          <w:rFonts w:hint="eastAsia"/>
          <w:bCs/>
          <w:sz w:val="20"/>
          <w:szCs w:val="20"/>
        </w:rPr>
        <w:t>通过学习，了解行政诉讼的概念和原则，认识行政诉讼的审判组织极其受案范围和管辖，了解行政诉讼参加人，掌握行政诉讼程序。</w:t>
      </w:r>
    </w:p>
    <w:p>
      <w:pPr>
        <w:snapToGrid w:val="0"/>
        <w:spacing w:line="288" w:lineRule="auto"/>
        <w:ind w:firstLine="400" w:firstLineChars="200"/>
        <w:rPr>
          <w:bCs/>
          <w:sz w:val="20"/>
          <w:szCs w:val="20"/>
        </w:rPr>
      </w:pPr>
      <w:r>
        <w:rPr>
          <w:rFonts w:hint="eastAsia"/>
          <w:bCs/>
          <w:sz w:val="20"/>
          <w:szCs w:val="20"/>
        </w:rPr>
        <w:t>专题四  刑法</w:t>
      </w:r>
    </w:p>
    <w:p>
      <w:pPr>
        <w:snapToGrid w:val="0"/>
        <w:spacing w:line="288" w:lineRule="auto"/>
        <w:ind w:firstLine="400" w:firstLineChars="200"/>
        <w:rPr>
          <w:bCs/>
          <w:sz w:val="20"/>
          <w:szCs w:val="20"/>
        </w:rPr>
      </w:pPr>
      <w:r>
        <w:rPr>
          <w:rFonts w:hint="eastAsia"/>
          <w:bCs/>
          <w:sz w:val="20"/>
          <w:szCs w:val="20"/>
        </w:rPr>
        <w:t>通过学习，了解刑法的概念、基本原则和适用范围，掌握犯罪和刑事责任的概念和特征，认识犯罪构成，认识正当防卫和紧急避险，了解关于共同犯罪的规定，掌握量刑原则和刑罚的规定。了解并掌握我国常见的犯罪及其刑事责任。</w:t>
      </w:r>
    </w:p>
    <w:p>
      <w:pPr>
        <w:snapToGrid w:val="0"/>
        <w:spacing w:line="288" w:lineRule="auto"/>
        <w:ind w:firstLine="400" w:firstLineChars="200"/>
        <w:rPr>
          <w:bCs/>
          <w:sz w:val="20"/>
          <w:szCs w:val="20"/>
        </w:rPr>
      </w:pPr>
      <w:r>
        <w:rPr>
          <w:rFonts w:hint="eastAsia"/>
          <w:bCs/>
          <w:sz w:val="20"/>
          <w:szCs w:val="20"/>
        </w:rPr>
        <w:t>专题五  民法</w:t>
      </w:r>
    </w:p>
    <w:p>
      <w:pPr>
        <w:snapToGrid w:val="0"/>
        <w:spacing w:line="288" w:lineRule="auto"/>
        <w:ind w:firstLine="400" w:firstLineChars="200"/>
        <w:rPr>
          <w:bCs/>
          <w:sz w:val="20"/>
          <w:szCs w:val="20"/>
        </w:rPr>
      </w:pPr>
      <w:r>
        <w:rPr>
          <w:rFonts w:hint="eastAsia"/>
          <w:bCs/>
          <w:sz w:val="20"/>
          <w:szCs w:val="20"/>
        </w:rPr>
        <w:t>通过学习，了解我国民法的概念、调整对象、基本原则，掌握民事主体、民事权利、民事法律行为和代理、民事责任等的有关规定。了解并掌握婚姻家庭法、财产继承法等的主要规定。</w:t>
      </w:r>
    </w:p>
    <w:p>
      <w:pPr>
        <w:snapToGrid w:val="0"/>
        <w:spacing w:line="288" w:lineRule="auto"/>
        <w:ind w:firstLine="400" w:firstLineChars="200"/>
        <w:rPr>
          <w:bCs/>
          <w:sz w:val="20"/>
          <w:szCs w:val="20"/>
        </w:rPr>
      </w:pPr>
      <w:r>
        <w:rPr>
          <w:rFonts w:hint="eastAsia"/>
          <w:bCs/>
          <w:sz w:val="20"/>
          <w:szCs w:val="20"/>
        </w:rPr>
        <w:t>专题六  刑事诉讼法</w:t>
      </w:r>
    </w:p>
    <w:p>
      <w:pPr>
        <w:snapToGrid w:val="0"/>
        <w:spacing w:line="288" w:lineRule="auto"/>
        <w:ind w:firstLine="400" w:firstLineChars="200"/>
        <w:rPr>
          <w:bCs/>
          <w:sz w:val="20"/>
          <w:szCs w:val="20"/>
        </w:rPr>
      </w:pPr>
      <w:r>
        <w:rPr>
          <w:rFonts w:hint="eastAsia"/>
          <w:bCs/>
          <w:sz w:val="20"/>
          <w:szCs w:val="20"/>
        </w:rPr>
        <w:t>通过学习，了解我国刑事诉讼法的概念和基本任务，掌握刑事诉讼管辖和刑事诉讼程序的规定，认识刑事诉讼证据和刑事强制措施。</w:t>
      </w:r>
    </w:p>
    <w:p>
      <w:pPr>
        <w:snapToGrid w:val="0"/>
        <w:spacing w:line="288" w:lineRule="auto"/>
        <w:ind w:firstLine="400" w:firstLineChars="200"/>
        <w:rPr>
          <w:bCs/>
          <w:sz w:val="20"/>
          <w:szCs w:val="20"/>
        </w:rPr>
      </w:pPr>
      <w:r>
        <w:rPr>
          <w:rFonts w:hint="eastAsia"/>
          <w:bCs/>
          <w:sz w:val="20"/>
          <w:szCs w:val="20"/>
        </w:rPr>
        <w:t>专题七  民事诉讼法</w:t>
      </w:r>
    </w:p>
    <w:p>
      <w:pPr>
        <w:snapToGrid w:val="0"/>
        <w:spacing w:line="288" w:lineRule="auto"/>
        <w:ind w:firstLine="400" w:firstLineChars="200"/>
        <w:rPr>
          <w:bCs/>
          <w:sz w:val="20"/>
          <w:szCs w:val="20"/>
        </w:rPr>
      </w:pPr>
      <w:r>
        <w:rPr>
          <w:rFonts w:hint="eastAsia"/>
          <w:bCs/>
          <w:sz w:val="20"/>
          <w:szCs w:val="20"/>
        </w:rPr>
        <w:t>通过学习，掌握我国民事诉讼法的基本原则、民事诉讼的管辖以及民事诉讼参加人的有关规定，认识财产保全和先予执行制度，了解民事诉讼证据，掌握民事诉讼程序。</w:t>
      </w:r>
    </w:p>
    <w:p>
      <w:pPr>
        <w:widowControl/>
        <w:spacing w:beforeLines="50" w:afterLines="50"/>
        <w:ind w:firstLine="300" w:firstLineChars="150"/>
        <w:jc w:val="left"/>
        <w:rPr>
          <w:bCs/>
          <w:sz w:val="20"/>
          <w:szCs w:val="20"/>
        </w:rPr>
      </w:pPr>
    </w:p>
    <w:p>
      <w:pPr>
        <w:widowControl/>
        <w:spacing w:beforeLines="50"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七、课内实验名称及基本要求（选填，适用于课内实验）</w:t>
      </w:r>
    </w:p>
    <w:p>
      <w:pPr>
        <w:snapToGrid w:val="0"/>
        <w:spacing w:beforeLines="50" w:afterLines="50"/>
        <w:jc w:val="center"/>
        <w:rPr>
          <w:bCs/>
          <w:color w:val="000000"/>
          <w:szCs w:val="20"/>
        </w:rPr>
      </w:pPr>
      <w:r>
        <w:rPr>
          <w:rFonts w:hint="eastAsia"/>
          <w:bCs/>
          <w:color w:val="000000"/>
          <w:szCs w:val="20"/>
        </w:rPr>
        <w:t>列出实践环节各阶段的名称、实践的天数或周数及每个阶段的内容简述。</w:t>
      </w:r>
    </w:p>
    <w:tbl>
      <w:tblPr>
        <w:tblStyle w:val="5"/>
        <w:tblW w:w="864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171"/>
        <w:gridCol w:w="3240"/>
        <w:gridCol w:w="126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r>
              <w:rPr>
                <w:rFonts w:hint="eastAsia" w:ascii="宋体" w:hAnsi="宋体"/>
                <w:bCs/>
                <w:color w:val="000000"/>
                <w:szCs w:val="20"/>
              </w:rPr>
              <w:t>序号</w:t>
            </w: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r>
              <w:rPr>
                <w:rFonts w:hint="eastAsia" w:ascii="宋体" w:hAnsi="宋体"/>
                <w:bCs/>
                <w:color w:val="000000"/>
                <w:szCs w:val="20"/>
              </w:rPr>
              <w:t>各阶段名称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r>
              <w:rPr>
                <w:rFonts w:hint="eastAsia" w:ascii="宋体" w:hAnsi="宋体"/>
                <w:bCs/>
                <w:color w:val="000000"/>
                <w:szCs w:val="20"/>
              </w:rPr>
              <w:t>实践主要内容</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r>
              <w:rPr>
                <w:rFonts w:hint="eastAsia" w:ascii="宋体" w:hAnsi="宋体"/>
                <w:bCs/>
                <w:color w:val="000000"/>
                <w:szCs w:val="20"/>
              </w:rPr>
              <w:t>天数/周数</w:t>
            </w:r>
          </w:p>
        </w:tc>
        <w:tc>
          <w:tcPr>
            <w:tcW w:w="1125" w:type="dxa"/>
            <w:tcBorders>
              <w:top w:val="single" w:color="auto" w:sz="4" w:space="0"/>
              <w:left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r>
              <w:rPr>
                <w:rFonts w:hint="eastAsia" w:ascii="宋体" w:hAnsi="宋体"/>
                <w:bCs/>
                <w:color w:val="00000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r>
              <w:rPr>
                <w:rFonts w:hint="eastAsia" w:ascii="宋体" w:hAnsi="宋体"/>
                <w:bCs/>
                <w:color w:val="000000"/>
                <w:szCs w:val="20"/>
              </w:rPr>
              <w:t>1</w:t>
            </w: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r>
              <w:rPr>
                <w:rFonts w:hint="eastAsia" w:ascii="宋体" w:hAnsi="宋体"/>
                <w:bCs/>
                <w:color w:val="000000"/>
                <w:szCs w:val="20"/>
              </w:rPr>
              <w:t>法庭旁听</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r>
              <w:rPr>
                <w:rFonts w:hint="eastAsia" w:ascii="宋体" w:hAnsi="宋体"/>
                <w:bCs/>
                <w:color w:val="000000"/>
                <w:szCs w:val="20"/>
              </w:rPr>
              <w:t>一般要求：体验式学习，取得课程学习的第一手资料，完成法庭旁听小结；</w:t>
            </w:r>
          </w:p>
          <w:p>
            <w:pPr>
              <w:snapToGrid w:val="0"/>
              <w:spacing w:beforeLines="50" w:afterLines="50"/>
              <w:rPr>
                <w:rFonts w:ascii="宋体" w:hAnsi="宋体"/>
                <w:bCs/>
                <w:color w:val="000000"/>
                <w:szCs w:val="20"/>
              </w:rPr>
            </w:pPr>
            <w:r>
              <w:rPr>
                <w:rFonts w:hint="eastAsia" w:ascii="宋体" w:hAnsi="宋体"/>
                <w:bCs/>
                <w:color w:val="000000"/>
                <w:szCs w:val="20"/>
              </w:rPr>
              <w:t>提高性要求（不作强制性规定）：撰写法庭旁听新闻稿；采访法官并完成采访稿件。</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r>
              <w:rPr>
                <w:rFonts w:hint="eastAsia" w:ascii="宋体" w:hAnsi="宋体"/>
                <w:bCs/>
                <w:color w:val="000000"/>
                <w:szCs w:val="20"/>
              </w:rPr>
              <w:t>4节课</w:t>
            </w:r>
          </w:p>
        </w:tc>
        <w:tc>
          <w:tcPr>
            <w:tcW w:w="1125" w:type="dxa"/>
            <w:tcBorders>
              <w:top w:val="single" w:color="auto" w:sz="4" w:space="0"/>
              <w:left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p>
        </w:tc>
        <w:tc>
          <w:tcPr>
            <w:tcW w:w="1125" w:type="dxa"/>
            <w:tcBorders>
              <w:top w:val="single" w:color="auto" w:sz="4" w:space="0"/>
              <w:left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p>
        </w:tc>
        <w:tc>
          <w:tcPr>
            <w:tcW w:w="1125" w:type="dxa"/>
            <w:tcBorders>
              <w:top w:val="single" w:color="auto" w:sz="4" w:space="0"/>
              <w:left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p>
        </w:tc>
        <w:tc>
          <w:tcPr>
            <w:tcW w:w="217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p>
        </w:tc>
        <w:tc>
          <w:tcPr>
            <w:tcW w:w="1125" w:type="dxa"/>
            <w:tcBorders>
              <w:top w:val="single" w:color="auto" w:sz="4" w:space="0"/>
              <w:left w:val="single" w:color="auto" w:sz="4" w:space="0"/>
              <w:right w:val="single" w:color="auto" w:sz="4" w:space="0"/>
            </w:tcBorders>
            <w:shd w:val="clear" w:color="auto" w:fill="auto"/>
            <w:vAlign w:val="center"/>
          </w:tcPr>
          <w:p>
            <w:pPr>
              <w:snapToGrid w:val="0"/>
              <w:spacing w:beforeLines="50" w:afterLines="50"/>
              <w:rPr>
                <w:rFonts w:ascii="宋体" w:hAnsi="宋体"/>
                <w:bCs/>
                <w:color w:val="000000"/>
                <w:szCs w:val="20"/>
              </w:rPr>
            </w:pPr>
          </w:p>
        </w:tc>
      </w:tr>
    </w:tbl>
    <w:p>
      <w:pPr>
        <w:snapToGrid w:val="0"/>
        <w:spacing w:line="288" w:lineRule="auto"/>
        <w:ind w:right="2520"/>
        <w:rPr>
          <w:rFonts w:ascii="黑体" w:hAnsi="宋体" w:eastAsia="黑体"/>
          <w:sz w:val="24"/>
        </w:rPr>
      </w:pPr>
    </w:p>
    <w:p>
      <w:pPr>
        <w:snapToGrid w:val="0"/>
        <w:spacing w:line="288" w:lineRule="auto"/>
        <w:ind w:right="2520" w:firstLine="480" w:firstLineChars="200"/>
        <w:rPr>
          <w:rFonts w:ascii="黑体" w:hAnsi="宋体" w:eastAsia="黑体"/>
          <w:sz w:val="24"/>
        </w:rPr>
      </w:pPr>
      <w:r>
        <w:rPr>
          <w:rFonts w:hint="eastAsia" w:ascii="黑体" w:hAnsi="宋体" w:eastAsia="黑体"/>
          <w:sz w:val="24"/>
        </w:rPr>
        <w:t>八、评价方式与成绩</w:t>
      </w:r>
      <w:r>
        <w:rPr>
          <w:rFonts w:ascii="黑体" w:hAnsi="宋体" w:eastAsia="黑体"/>
          <w:sz w:val="24"/>
        </w:rPr>
        <w:t>（必填项）</w:t>
      </w:r>
    </w:p>
    <w:tbl>
      <w:tblPr>
        <w:tblStyle w:val="5"/>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Lines="50" w:afterLines="50"/>
              <w:rPr>
                <w:rFonts w:ascii="宋体" w:hAnsi="宋体"/>
                <w:bCs/>
                <w:color w:val="000000"/>
                <w:szCs w:val="20"/>
              </w:rPr>
            </w:pPr>
            <w:r>
              <w:rPr>
                <w:rFonts w:hint="eastAsia" w:ascii="宋体" w:hAnsi="宋体"/>
                <w:bCs/>
                <w:color w:val="000000"/>
                <w:szCs w:val="20"/>
              </w:rPr>
              <w:t>总评构成（</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Lines="50" w:afterLines="50"/>
              <w:jc w:val="center"/>
              <w:rPr>
                <w:bCs/>
                <w:color w:val="000000"/>
                <w:szCs w:val="20"/>
              </w:rPr>
            </w:pPr>
            <w:r>
              <w:rPr>
                <w:bCs/>
                <w:color w:val="000000"/>
                <w:szCs w:val="20"/>
              </w:rPr>
              <w:t>1</w:t>
            </w:r>
          </w:p>
        </w:tc>
        <w:tc>
          <w:tcPr>
            <w:tcW w:w="5103" w:type="dxa"/>
            <w:shd w:val="clear" w:color="auto" w:fill="auto"/>
          </w:tcPr>
          <w:p>
            <w:pPr>
              <w:snapToGrid w:val="0"/>
              <w:spacing w:beforeLines="50" w:afterLines="50"/>
              <w:jc w:val="center"/>
              <w:rPr>
                <w:bCs/>
                <w:color w:val="000000"/>
                <w:szCs w:val="20"/>
              </w:rPr>
            </w:pPr>
            <w:r>
              <w:rPr>
                <w:rFonts w:hint="eastAsia"/>
                <w:bCs/>
                <w:color w:val="000000"/>
                <w:szCs w:val="20"/>
              </w:rPr>
              <w:t>期末测试</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Lines="50" w:afterLines="50"/>
              <w:jc w:val="center"/>
              <w:rPr>
                <w:bCs/>
                <w:color w:val="000000"/>
                <w:szCs w:val="20"/>
              </w:rPr>
            </w:pPr>
            <w:r>
              <w:rPr>
                <w:bCs/>
                <w:color w:val="000000"/>
                <w:szCs w:val="20"/>
              </w:rPr>
              <w:t>X1</w:t>
            </w:r>
          </w:p>
        </w:tc>
        <w:tc>
          <w:tcPr>
            <w:tcW w:w="5103" w:type="dxa"/>
            <w:shd w:val="clear" w:color="auto" w:fill="auto"/>
          </w:tcPr>
          <w:p>
            <w:pPr>
              <w:snapToGrid w:val="0"/>
              <w:spacing w:beforeLines="50" w:afterLines="50"/>
              <w:jc w:val="center"/>
              <w:rPr>
                <w:bCs/>
                <w:color w:val="000000"/>
                <w:szCs w:val="20"/>
              </w:rPr>
            </w:pPr>
            <w:r>
              <w:rPr>
                <w:rFonts w:hint="eastAsia"/>
                <w:bCs/>
                <w:color w:val="000000"/>
                <w:szCs w:val="20"/>
              </w:rPr>
              <w:t>作业及课堂互动</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Lines="50" w:afterLines="50"/>
              <w:jc w:val="center"/>
              <w:rPr>
                <w:bCs/>
                <w:color w:val="000000"/>
                <w:szCs w:val="20"/>
              </w:rPr>
            </w:pPr>
            <w:r>
              <w:rPr>
                <w:bCs/>
                <w:color w:val="000000"/>
                <w:szCs w:val="20"/>
              </w:rPr>
              <w:t>X2</w:t>
            </w:r>
          </w:p>
        </w:tc>
        <w:tc>
          <w:tcPr>
            <w:tcW w:w="5103" w:type="dxa"/>
            <w:shd w:val="clear" w:color="auto" w:fill="auto"/>
          </w:tcPr>
          <w:p>
            <w:pPr>
              <w:snapToGrid w:val="0"/>
              <w:spacing w:beforeLines="50" w:afterLines="50"/>
              <w:jc w:val="center"/>
              <w:rPr>
                <w:bCs/>
                <w:color w:val="000000"/>
                <w:szCs w:val="20"/>
              </w:rPr>
            </w:pPr>
            <w:r>
              <w:rPr>
                <w:rFonts w:hint="eastAsia"/>
                <w:bCs/>
                <w:color w:val="000000"/>
                <w:szCs w:val="20"/>
              </w:rPr>
              <w:t>中期大作业</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auto"/>
          </w:tcPr>
          <w:p>
            <w:pPr>
              <w:snapToGrid w:val="0"/>
              <w:spacing w:beforeLines="50" w:afterLines="50"/>
              <w:jc w:val="center"/>
              <w:rPr>
                <w:bCs/>
                <w:color w:val="000000"/>
                <w:szCs w:val="20"/>
              </w:rPr>
            </w:pPr>
            <w:r>
              <w:rPr>
                <w:bCs/>
                <w:color w:val="000000"/>
                <w:szCs w:val="20"/>
              </w:rPr>
              <w:t>X3</w:t>
            </w:r>
          </w:p>
        </w:tc>
        <w:tc>
          <w:tcPr>
            <w:tcW w:w="5103" w:type="dxa"/>
            <w:shd w:val="clear" w:color="auto" w:fill="auto"/>
          </w:tcPr>
          <w:p>
            <w:pPr>
              <w:snapToGrid w:val="0"/>
              <w:spacing w:beforeLines="50" w:afterLines="50"/>
              <w:jc w:val="center"/>
              <w:rPr>
                <w:bCs/>
                <w:color w:val="000000"/>
                <w:szCs w:val="20"/>
              </w:rPr>
            </w:pPr>
            <w:r>
              <w:rPr>
                <w:rFonts w:hint="eastAsia"/>
                <w:bCs/>
                <w:color w:val="000000"/>
                <w:szCs w:val="20"/>
              </w:rPr>
              <w:t>法庭旁听成果评价</w:t>
            </w:r>
          </w:p>
        </w:tc>
        <w:tc>
          <w:tcPr>
            <w:tcW w:w="1843" w:type="dxa"/>
            <w:shd w:val="clear" w:color="auto" w:fill="auto"/>
          </w:tcPr>
          <w:p>
            <w:pPr>
              <w:snapToGrid w:val="0"/>
              <w:spacing w:beforeLines="50" w:afterLines="50"/>
              <w:jc w:val="center"/>
              <w:rPr>
                <w:rFonts w:ascii="宋体" w:hAnsi="宋体"/>
                <w:bCs/>
                <w:color w:val="000000"/>
                <w:szCs w:val="20"/>
              </w:rPr>
            </w:pPr>
            <w:r>
              <w:rPr>
                <w:rFonts w:hint="eastAsia" w:ascii="宋体" w:hAnsi="宋体"/>
                <w:bCs/>
                <w:color w:val="000000"/>
                <w:szCs w:val="20"/>
              </w:rPr>
              <w:t>20%</w:t>
            </w:r>
          </w:p>
        </w:tc>
      </w:tr>
    </w:tbl>
    <w:p>
      <w:pPr>
        <w:snapToGrid w:val="0"/>
        <w:spacing w:line="288" w:lineRule="auto"/>
        <w:ind w:right="2520" w:firstLine="400" w:firstLineChars="200"/>
        <w:rPr>
          <w:sz w:val="20"/>
          <w:szCs w:val="20"/>
        </w:rPr>
      </w:pPr>
    </w:p>
    <w:p>
      <w:pPr>
        <w:widowControl/>
        <w:spacing w:beforeLines="50" w:afterLines="50" w:line="288" w:lineRule="auto"/>
        <w:jc w:val="left"/>
        <w:rPr>
          <w:rFonts w:ascii="黑体" w:hAnsi="宋体" w:eastAsia="黑体"/>
          <w:sz w:val="24"/>
        </w:rPr>
      </w:pPr>
    </w:p>
    <w:p>
      <w:pPr>
        <w:snapToGrid w:val="0"/>
        <w:spacing w:beforeLines="50" w:line="288" w:lineRule="auto"/>
        <w:ind w:firstLine="400" w:firstLineChars="200"/>
        <w:rPr>
          <w:rFonts w:ascii="宋体" w:hAnsi="宋体"/>
          <w:sz w:val="20"/>
          <w:szCs w:val="20"/>
        </w:rPr>
      </w:pPr>
      <w:r>
        <w:rPr>
          <w:rFonts w:hint="eastAsia" w:ascii="宋体" w:hAnsi="宋体"/>
          <w:sz w:val="20"/>
          <w:szCs w:val="20"/>
        </w:rPr>
        <w:t>“</w:t>
      </w:r>
      <w:r>
        <w:rPr>
          <w:rFonts w:ascii="宋体" w:hAnsi="宋体"/>
          <w:sz w:val="20"/>
          <w:szCs w:val="20"/>
        </w:rPr>
        <w:t>1</w:t>
      </w:r>
      <w:r>
        <w:rPr>
          <w:rFonts w:hint="eastAsia" w:ascii="宋体" w:hAnsi="宋体"/>
          <w:sz w:val="20"/>
          <w:szCs w:val="20"/>
        </w:rPr>
        <w:t>”一般为总结性评价, “</w:t>
      </w:r>
      <w:r>
        <w:rPr>
          <w:rFonts w:ascii="宋体" w:hAnsi="宋体"/>
          <w:sz w:val="20"/>
          <w:szCs w:val="20"/>
        </w:rPr>
        <w:t>X</w:t>
      </w:r>
      <w:r>
        <w:rPr>
          <w:rFonts w:hint="eastAsia" w:ascii="宋体" w:hAnsi="宋体"/>
          <w:sz w:val="20"/>
          <w:szCs w:val="20"/>
        </w:rPr>
        <w:t>”为过程性评价，“</w:t>
      </w:r>
      <w:r>
        <w:rPr>
          <w:rFonts w:ascii="宋体" w:hAnsi="宋体"/>
          <w:sz w:val="20"/>
          <w:szCs w:val="20"/>
        </w:rPr>
        <w:t>X</w:t>
      </w:r>
      <w:r>
        <w:rPr>
          <w:rFonts w:hint="eastAsia" w:ascii="宋体" w:hAnsi="宋体"/>
          <w:sz w:val="20"/>
          <w:szCs w:val="20"/>
        </w:rPr>
        <w:t>”的</w:t>
      </w:r>
      <w:r>
        <w:rPr>
          <w:rFonts w:hint="eastAsia"/>
          <w:color w:val="000000"/>
          <w:sz w:val="20"/>
          <w:szCs w:val="20"/>
        </w:rPr>
        <w:t>次数一般不少于3次，无论是</w:t>
      </w:r>
      <w:r>
        <w:rPr>
          <w:rFonts w:hint="eastAsia" w:ascii="宋体" w:hAnsi="宋体"/>
          <w:sz w:val="20"/>
          <w:szCs w:val="20"/>
        </w:rPr>
        <w:t>“</w:t>
      </w:r>
      <w:r>
        <w:rPr>
          <w:rFonts w:ascii="宋体" w:hAnsi="宋体"/>
          <w:sz w:val="20"/>
          <w:szCs w:val="20"/>
        </w:rPr>
        <w:t>1</w:t>
      </w:r>
      <w:r>
        <w:rPr>
          <w:rFonts w:hint="eastAsia" w:ascii="宋体" w:hAnsi="宋体"/>
          <w:sz w:val="20"/>
          <w:szCs w:val="20"/>
        </w:rPr>
        <w:t>”、还是“</w:t>
      </w:r>
      <w:r>
        <w:rPr>
          <w:rFonts w:ascii="宋体" w:hAnsi="宋体"/>
          <w:sz w:val="20"/>
          <w:szCs w:val="20"/>
        </w:rPr>
        <w:t>X</w:t>
      </w:r>
      <w:r>
        <w:rPr>
          <w:rFonts w:hint="eastAsia" w:ascii="宋体" w:hAnsi="宋体"/>
          <w:sz w:val="20"/>
          <w:szCs w:val="20"/>
        </w:rPr>
        <w:t>”，都可以是纸笔测试，也可以是表现性评价。与能力本位相适应的课程评价方式，较少采用纸笔测试，较多采用表现性评价。</w:t>
      </w:r>
    </w:p>
    <w:p>
      <w:pPr>
        <w:snapToGrid w:val="0"/>
        <w:spacing w:before="120" w:after="120" w:line="288" w:lineRule="auto"/>
        <w:ind w:firstLine="400" w:firstLineChars="200"/>
        <w:rPr>
          <w:b/>
          <w:color w:val="000000"/>
          <w:sz w:val="20"/>
          <w:szCs w:val="20"/>
        </w:rPr>
      </w:pPr>
      <w:r>
        <w:rPr>
          <w:rFonts w:hint="eastAsia"/>
          <w:color w:val="000000"/>
          <w:sz w:val="20"/>
          <w:szCs w:val="20"/>
        </w:rPr>
        <w:t>常用</w:t>
      </w:r>
      <w:r>
        <w:rPr>
          <w:color w:val="000000"/>
          <w:sz w:val="20"/>
          <w:szCs w:val="20"/>
        </w:rPr>
        <w:t>的</w:t>
      </w:r>
      <w:r>
        <w:rPr>
          <w:rFonts w:hint="eastAsia"/>
          <w:color w:val="000000"/>
          <w:sz w:val="20"/>
          <w:szCs w:val="20"/>
        </w:rPr>
        <w:t>评价</w:t>
      </w:r>
      <w:r>
        <w:rPr>
          <w:color w:val="000000"/>
          <w:sz w:val="20"/>
          <w:szCs w:val="20"/>
        </w:rPr>
        <w:t>方式</w:t>
      </w:r>
      <w:r>
        <w:rPr>
          <w:rFonts w:hint="eastAsia"/>
          <w:color w:val="000000"/>
          <w:sz w:val="20"/>
          <w:szCs w:val="20"/>
        </w:rPr>
        <w:t>有</w:t>
      </w:r>
      <w:r>
        <w:rPr>
          <w:color w:val="000000"/>
          <w:sz w:val="20"/>
          <w:szCs w:val="20"/>
        </w:rPr>
        <w:t>：</w:t>
      </w:r>
      <w:r>
        <w:rPr>
          <w:rFonts w:hint="eastAsia" w:ascii="宋体" w:hAnsi="宋体"/>
          <w:sz w:val="20"/>
          <w:szCs w:val="20"/>
        </w:rPr>
        <w:t>课堂展示、口头</w:t>
      </w:r>
      <w:r>
        <w:rPr>
          <w:rFonts w:ascii="宋体" w:hAnsi="宋体"/>
          <w:sz w:val="20"/>
          <w:szCs w:val="20"/>
        </w:rPr>
        <w:t>报告、</w:t>
      </w:r>
      <w:r>
        <w:rPr>
          <w:rFonts w:hint="eastAsia" w:ascii="宋体" w:hAnsi="宋体"/>
          <w:sz w:val="20"/>
          <w:szCs w:val="20"/>
        </w:rPr>
        <w:t>论文、日志、反思</w:t>
      </w:r>
      <w:r>
        <w:rPr>
          <w:rFonts w:ascii="宋体" w:hAnsi="宋体"/>
          <w:sz w:val="20"/>
          <w:szCs w:val="20"/>
        </w:rPr>
        <w:t>、</w:t>
      </w:r>
      <w:r>
        <w:rPr>
          <w:rFonts w:hint="eastAsia" w:ascii="宋体" w:hAnsi="宋体"/>
          <w:sz w:val="20"/>
          <w:szCs w:val="20"/>
        </w:rPr>
        <w:t>调查报告、个人项目报告、小组</w:t>
      </w:r>
      <w:r>
        <w:rPr>
          <w:rFonts w:ascii="宋体" w:hAnsi="宋体"/>
          <w:sz w:val="20"/>
          <w:szCs w:val="20"/>
        </w:rPr>
        <w:t>项目报告、</w:t>
      </w:r>
      <w:r>
        <w:rPr>
          <w:rFonts w:hint="eastAsia" w:ascii="宋体" w:hAnsi="宋体"/>
          <w:sz w:val="20"/>
          <w:szCs w:val="20"/>
        </w:rPr>
        <w:t>实验报告、读书报告、作品（选集</w:t>
      </w:r>
      <w:r>
        <w:rPr>
          <w:rFonts w:ascii="宋体" w:hAnsi="宋体"/>
          <w:sz w:val="20"/>
          <w:szCs w:val="20"/>
        </w:rPr>
        <w:t>）</w:t>
      </w:r>
      <w:r>
        <w:rPr>
          <w:rFonts w:hint="eastAsia" w:ascii="宋体" w:hAnsi="宋体"/>
          <w:sz w:val="20"/>
          <w:szCs w:val="20"/>
        </w:rPr>
        <w:t>、口试、课堂小测验、</w:t>
      </w:r>
      <w:r>
        <w:rPr>
          <w:rFonts w:ascii="宋体" w:hAnsi="宋体"/>
          <w:sz w:val="20"/>
          <w:szCs w:val="20"/>
        </w:rPr>
        <w:t>期终闭卷考、期终开卷考、</w:t>
      </w:r>
      <w:r>
        <w:rPr>
          <w:rFonts w:hint="eastAsia" w:ascii="宋体" w:hAnsi="宋体"/>
          <w:sz w:val="20"/>
          <w:szCs w:val="20"/>
        </w:rPr>
        <w:t>工作</w:t>
      </w:r>
      <w:r>
        <w:rPr>
          <w:rFonts w:ascii="宋体" w:hAnsi="宋体"/>
          <w:sz w:val="20"/>
          <w:szCs w:val="20"/>
        </w:rPr>
        <w:t>现场评估、</w:t>
      </w:r>
      <w:r>
        <w:rPr>
          <w:rFonts w:hint="eastAsia" w:ascii="宋体" w:hAnsi="宋体"/>
          <w:sz w:val="20"/>
          <w:szCs w:val="20"/>
        </w:rPr>
        <w:t>自我</w:t>
      </w:r>
      <w:r>
        <w:rPr>
          <w:rFonts w:ascii="宋体" w:hAnsi="宋体"/>
          <w:sz w:val="20"/>
          <w:szCs w:val="20"/>
        </w:rPr>
        <w:t>评估、</w:t>
      </w:r>
      <w:r>
        <w:rPr>
          <w:rFonts w:hint="eastAsia" w:ascii="宋体" w:hAnsi="宋体"/>
          <w:sz w:val="20"/>
          <w:szCs w:val="20"/>
        </w:rPr>
        <w:t>同辈</w:t>
      </w:r>
      <w:r>
        <w:rPr>
          <w:rFonts w:ascii="宋体" w:hAnsi="宋体"/>
          <w:sz w:val="20"/>
          <w:szCs w:val="20"/>
        </w:rPr>
        <w:t>评估</w:t>
      </w:r>
      <w:r>
        <w:rPr>
          <w:rFonts w:hint="eastAsia" w:ascii="宋体" w:hAnsi="宋体"/>
          <w:sz w:val="20"/>
          <w:szCs w:val="20"/>
        </w:rPr>
        <w:t>等等</w:t>
      </w:r>
      <w:r>
        <w:rPr>
          <w:rFonts w:ascii="宋体" w:hAnsi="宋体"/>
          <w:sz w:val="20"/>
          <w:szCs w:val="20"/>
        </w:rPr>
        <w:t>。</w:t>
      </w:r>
      <w:r>
        <w:rPr>
          <w:rFonts w:hint="eastAsia" w:ascii="宋体" w:hAnsi="宋体"/>
          <w:b/>
          <w:sz w:val="20"/>
          <w:szCs w:val="20"/>
          <w:highlight w:val="yellow"/>
        </w:rPr>
        <w:t>一般课外扩展阅读的检查评价应该成为“X”中的一部分。</w:t>
      </w:r>
    </w:p>
    <w:p>
      <w:pPr>
        <w:snapToGrid w:val="0"/>
        <w:spacing w:before="120" w:after="120" w:line="288" w:lineRule="auto"/>
        <w:ind w:firstLine="400" w:firstLineChars="200"/>
        <w:rPr>
          <w:rFonts w:ascii="宋体" w:hAnsi="宋体"/>
          <w:sz w:val="20"/>
          <w:szCs w:val="20"/>
          <w:highlight w:val="yellow"/>
        </w:rPr>
      </w:pPr>
      <w:r>
        <w:rPr>
          <w:rFonts w:hint="eastAsia" w:ascii="宋体" w:hAnsi="宋体"/>
          <w:sz w:val="20"/>
          <w:szCs w:val="20"/>
          <w:highlight w:val="yellow"/>
        </w:rPr>
        <w:t>同一门课程由多个教师共同授课的，由课程组共同讨论决定X的内容、次数及比例。</w:t>
      </w:r>
    </w:p>
    <w:p>
      <w:pPr>
        <w:snapToGrid w:val="0"/>
        <w:spacing w:before="120" w:after="120" w:line="288" w:lineRule="auto"/>
        <w:ind w:firstLine="400" w:firstLineChars="200"/>
        <w:rPr>
          <w:rFonts w:ascii="宋体" w:hAnsi="宋体"/>
          <w:sz w:val="20"/>
          <w:szCs w:val="20"/>
          <w:highlight w:val="yellow"/>
        </w:rPr>
      </w:pPr>
    </w:p>
    <w:p>
      <w:pPr>
        <w:snapToGrid w:val="0"/>
        <w:spacing w:before="120" w:after="120" w:line="288" w:lineRule="auto"/>
        <w:ind w:firstLine="400" w:firstLineChars="200"/>
        <w:rPr>
          <w:rFonts w:ascii="宋体" w:hAnsi="宋体"/>
          <w:sz w:val="20"/>
          <w:szCs w:val="20"/>
          <w:highlight w:val="yellow"/>
        </w:rPr>
      </w:pPr>
    </w:p>
    <w:p>
      <w:pPr>
        <w:snapToGrid w:val="0"/>
        <w:spacing w:line="288" w:lineRule="auto"/>
        <w:ind w:firstLine="840" w:firstLineChars="300"/>
        <w:rPr>
          <w:sz w:val="28"/>
          <w:szCs w:val="28"/>
        </w:rPr>
      </w:pPr>
      <w:r>
        <w:rPr>
          <w:rFonts w:hint="eastAsia"/>
          <w:sz w:val="28"/>
          <w:szCs w:val="28"/>
        </w:rPr>
        <w:t>撰写人：徐磊       系主任审核签名：徐磊</w:t>
      </w:r>
    </w:p>
    <w:p>
      <w:pPr>
        <w:snapToGrid w:val="0"/>
        <w:spacing w:line="288" w:lineRule="auto"/>
        <w:ind w:firstLine="840" w:firstLineChars="300"/>
        <w:rPr>
          <w:sz w:val="28"/>
          <w:szCs w:val="28"/>
        </w:rPr>
      </w:pPr>
      <w:r>
        <w:rPr>
          <w:rFonts w:hint="eastAsia"/>
          <w:sz w:val="28"/>
          <w:szCs w:val="28"/>
        </w:rPr>
        <w:t>审核时间：2018年9月</w:t>
      </w:r>
    </w:p>
    <w:p>
      <w:pPr>
        <w:spacing w:line="288" w:lineRule="auto"/>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Times New Roman"/>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123F4"/>
    <w:rsid w:val="001072BC"/>
    <w:rsid w:val="00256B39"/>
    <w:rsid w:val="0026033C"/>
    <w:rsid w:val="002E3721"/>
    <w:rsid w:val="00313BBA"/>
    <w:rsid w:val="0032602E"/>
    <w:rsid w:val="003367AE"/>
    <w:rsid w:val="003B1258"/>
    <w:rsid w:val="004100B0"/>
    <w:rsid w:val="005304C0"/>
    <w:rsid w:val="005467DC"/>
    <w:rsid w:val="00553D03"/>
    <w:rsid w:val="005B2B6D"/>
    <w:rsid w:val="005B4B4E"/>
    <w:rsid w:val="00624FE1"/>
    <w:rsid w:val="007208D6"/>
    <w:rsid w:val="008B397C"/>
    <w:rsid w:val="008B47F4"/>
    <w:rsid w:val="00900019"/>
    <w:rsid w:val="0099063E"/>
    <w:rsid w:val="009F0735"/>
    <w:rsid w:val="00A769B1"/>
    <w:rsid w:val="00A837D5"/>
    <w:rsid w:val="00AC4C45"/>
    <w:rsid w:val="00B46F21"/>
    <w:rsid w:val="00B511A5"/>
    <w:rsid w:val="00B736A7"/>
    <w:rsid w:val="00B7651F"/>
    <w:rsid w:val="00BF6F1D"/>
    <w:rsid w:val="00C56E09"/>
    <w:rsid w:val="00CF096B"/>
    <w:rsid w:val="00D5366F"/>
    <w:rsid w:val="00DB5B2C"/>
    <w:rsid w:val="00E16D30"/>
    <w:rsid w:val="00E33169"/>
    <w:rsid w:val="00E70904"/>
    <w:rsid w:val="00EF44B1"/>
    <w:rsid w:val="00F35AA0"/>
    <w:rsid w:val="016E63C2"/>
    <w:rsid w:val="024B0C39"/>
    <w:rsid w:val="0A8128A6"/>
    <w:rsid w:val="0BF32A1B"/>
    <w:rsid w:val="10BD2C22"/>
    <w:rsid w:val="22987C80"/>
    <w:rsid w:val="24192CCC"/>
    <w:rsid w:val="2DAD0824"/>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419</Words>
  <Characters>2391</Characters>
  <Lines>19</Lines>
  <Paragraphs>5</Paragraphs>
  <TotalTime>10</TotalTime>
  <ScaleCrop>false</ScaleCrop>
  <LinksUpToDate>false</LinksUpToDate>
  <CharactersWithSpaces>2805</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2018-03-05T12:58:00Z</dcterms:created>
  <dc:creator>juvg</dc:creator>
  <cp:lastModifiedBy>111111</cp:lastModifiedBy>
  <dcterms:modified xsi:type="dcterms:W3CDTF">2018-10-08T12:22:42Z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