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LVkea1AAAAAgBAAAPAAAAAAAAAAEAIAAAACIAAABkcnMvZG93bnJl&#10;di54bWxQSwECFAAUAAAACACHTuJAuUZcoToCAABPBAAADgAAAAAAAAABACAAAAAjAQAAZHJzL2Uy&#10;b0RvYy54bWxQSwUGAAAAAAYABgBZAQAAz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专业课课程</w:t>
      </w:r>
      <w:r>
        <w:rPr>
          <w:rFonts w:hint="eastAsia" w:ascii="方正小标宋简体" w:hAnsi="宋体" w:eastAsia="方正小标宋简体"/>
          <w:bCs/>
          <w:kern w:val="0"/>
          <w:sz w:val="40"/>
          <w:szCs w:val="40"/>
        </w:rPr>
        <w:t>教学大纲模板</w:t>
      </w:r>
      <w:r>
        <w:rPr>
          <w:rFonts w:hint="eastAsia" w:ascii="方正小标宋简体" w:hAnsi="宋体"/>
          <w:bCs/>
          <w:kern w:val="0"/>
          <w:szCs w:val="21"/>
        </w:rPr>
        <w:t>（</w:t>
      </w:r>
      <w:r>
        <w:rPr>
          <w:rFonts w:hint="eastAsia"/>
          <w:sz w:val="32"/>
          <w:szCs w:val="32"/>
        </w:rPr>
        <w:t>2017.6.30版</w:t>
      </w:r>
      <w:r>
        <w:rPr>
          <w:rFonts w:hint="eastAsia" w:ascii="方正小标宋简体" w:hAnsi="宋体"/>
          <w:bCs/>
          <w:kern w:val="0"/>
          <w:szCs w:val="21"/>
        </w:rPr>
        <w:t>）</w:t>
      </w:r>
    </w:p>
    <w:p>
      <w:pPr>
        <w:spacing w:line="288" w:lineRule="auto"/>
        <w:jc w:val="center"/>
        <w:rPr>
          <w:b/>
          <w:sz w:val="28"/>
          <w:szCs w:val="30"/>
        </w:rPr>
      </w:pPr>
      <w:r>
        <w:rPr>
          <w:rFonts w:hint="eastAsia"/>
          <w:b/>
          <w:sz w:val="28"/>
          <w:szCs w:val="30"/>
        </w:rPr>
        <w:t>【法律基础】</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 xml:space="preserve">Introduction to </w:t>
      </w:r>
      <w:r>
        <w:rPr>
          <w:rFonts w:hint="eastAsia"/>
          <w:b/>
          <w:sz w:val="28"/>
          <w:szCs w:val="30"/>
        </w:rPr>
        <w:t>Law】</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2030247</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1</w:t>
      </w:r>
      <w:r>
        <w:rPr>
          <w:rFonts w:hint="default"/>
          <w:color w:val="000000"/>
          <w:sz w:val="20"/>
          <w:szCs w:val="20"/>
          <w:lang w:val="en-US"/>
        </w:rPr>
        <w:t>9</w:t>
      </w:r>
      <w:r>
        <w:rPr>
          <w:rFonts w:hint="eastAsia"/>
          <w:color w:val="000000"/>
          <w:sz w:val="20"/>
          <w:szCs w:val="20"/>
        </w:rPr>
        <w:t>级秘书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rFonts w:hint="eastAsia"/>
          <w:color w:val="000000"/>
          <w:sz w:val="20"/>
          <w:szCs w:val="20"/>
        </w:rPr>
        <w:t>专业选修课</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新闻传播学院</w:t>
      </w:r>
    </w:p>
    <w:p>
      <w:pPr>
        <w:snapToGrid w:val="0"/>
        <w:spacing w:line="288" w:lineRule="auto"/>
        <w:ind w:firstLine="394" w:firstLineChars="196"/>
        <w:rPr>
          <w:b/>
          <w:bCs/>
          <w:color w:val="000000"/>
          <w:sz w:val="20"/>
          <w:szCs w:val="20"/>
        </w:rPr>
      </w:pPr>
      <w:r>
        <w:rPr>
          <w:b/>
          <w:bCs/>
          <w:color w:val="000000"/>
          <w:sz w:val="20"/>
          <w:szCs w:val="20"/>
        </w:rPr>
        <w:t>使用教材：</w:t>
      </w:r>
    </w:p>
    <w:p>
      <w:pPr>
        <w:snapToGrid w:val="0"/>
        <w:spacing w:line="288" w:lineRule="auto"/>
        <w:ind w:firstLine="392" w:firstLineChars="196"/>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《法律基础》，徐磊主编，华东师范大学出版社，最新版</w:t>
      </w:r>
      <w:r>
        <w:rPr>
          <w:color w:val="000000"/>
          <w:sz w:val="20"/>
          <w:szCs w:val="20"/>
        </w:rPr>
        <w:t>】</w:t>
      </w:r>
    </w:p>
    <w:p>
      <w:pPr>
        <w:snapToGrid w:val="0"/>
        <w:spacing w:line="288" w:lineRule="auto"/>
        <w:ind w:firstLine="392" w:firstLineChars="196"/>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1.《法学概论教学案例解析》，徐磊、陈梅主编，上海交通大学出版社，最新版</w:t>
      </w:r>
      <w:r>
        <w:rPr>
          <w:color w:val="000000"/>
          <w:sz w:val="20"/>
          <w:szCs w:val="20"/>
        </w:rPr>
        <w:t>】</w:t>
      </w:r>
    </w:p>
    <w:p>
      <w:pPr>
        <w:snapToGrid w:val="0"/>
        <w:ind w:firstLine="700" w:firstLineChars="350"/>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2.《法律基础》，鲁晓慧著，水利水电出版社，最新版</w:t>
      </w:r>
      <w:r>
        <w:rPr>
          <w:color w:val="000000"/>
          <w:sz w:val="20"/>
          <w:szCs w:val="20"/>
        </w:rPr>
        <w:t>】</w:t>
      </w:r>
    </w:p>
    <w:p>
      <w:pPr>
        <w:snapToGrid w:val="0"/>
        <w:spacing w:line="288" w:lineRule="auto"/>
        <w:ind w:firstLine="392" w:firstLineChars="196"/>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3.《法律基础》，魏胜强编著，科学出版社，最新版</w:t>
      </w:r>
      <w:r>
        <w:rPr>
          <w:color w:val="000000"/>
          <w:sz w:val="20"/>
          <w:szCs w:val="20"/>
        </w:rPr>
        <w:t>】</w:t>
      </w:r>
    </w:p>
    <w:p>
      <w:pPr>
        <w:snapToGrid w:val="0"/>
        <w:spacing w:line="288" w:lineRule="auto"/>
        <w:ind w:firstLine="392" w:firstLineChars="196"/>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4.《法律基础教学案例》，倪新兵著，北京大学出版社，最新版</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rPr>
      </w:pPr>
      <w:r>
        <w:rPr>
          <w:color w:val="000000"/>
          <w:sz w:val="20"/>
          <w:szCs w:val="20"/>
        </w:rPr>
        <w:t>https://elearning.gench.edu.cn:8443/webapps/bb-group-mgmt-LEARN/execute/groupInventoryList?course_id=_14344_1&amp;mode=cpview</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 xml:space="preserve">思想道德修养与法律基础 </w:t>
      </w:r>
      <w:r>
        <w:rPr>
          <w:color w:val="000000"/>
          <w:sz w:val="20"/>
          <w:szCs w:val="20"/>
        </w:rPr>
        <w:t>2110014</w:t>
      </w:r>
      <w:r>
        <w:rPr>
          <w:rFonts w:hint="eastAsia"/>
          <w:color w:val="000000"/>
          <w:sz w:val="20"/>
          <w:szCs w:val="20"/>
        </w:rPr>
        <w:t xml:space="preserve"> 学分3分</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288" w:lineRule="auto"/>
        <w:ind w:firstLine="400" w:firstLineChars="200"/>
        <w:rPr>
          <w:bCs/>
          <w:sz w:val="20"/>
          <w:szCs w:val="20"/>
        </w:rPr>
      </w:pPr>
      <w:r>
        <w:rPr>
          <w:rFonts w:hint="eastAsia"/>
          <w:bCs/>
          <w:sz w:val="20"/>
          <w:szCs w:val="20"/>
        </w:rPr>
        <w:t>《法律基础》</w:t>
      </w:r>
      <w:r>
        <w:rPr>
          <w:bCs/>
          <w:sz w:val="20"/>
          <w:szCs w:val="20"/>
        </w:rPr>
        <w:t>是</w:t>
      </w:r>
      <w:r>
        <w:rPr>
          <w:rFonts w:hint="eastAsia"/>
          <w:bCs/>
          <w:sz w:val="20"/>
          <w:szCs w:val="20"/>
        </w:rPr>
        <w:t>秘书</w:t>
      </w:r>
      <w:r>
        <w:rPr>
          <w:bCs/>
          <w:sz w:val="20"/>
          <w:szCs w:val="20"/>
        </w:rPr>
        <w:t>学专业的专业</w:t>
      </w:r>
      <w:r>
        <w:rPr>
          <w:rFonts w:hint="eastAsia"/>
          <w:bCs/>
          <w:sz w:val="20"/>
          <w:szCs w:val="20"/>
        </w:rPr>
        <w:t>选修</w:t>
      </w:r>
      <w:r>
        <w:rPr>
          <w:bCs/>
          <w:sz w:val="20"/>
          <w:szCs w:val="20"/>
        </w:rPr>
        <w:t>课程，</w:t>
      </w:r>
      <w:r>
        <w:rPr>
          <w:rFonts w:hint="eastAsia"/>
          <w:bCs/>
          <w:sz w:val="20"/>
          <w:szCs w:val="20"/>
        </w:rPr>
        <w:t>本课程概要论述法学基本原理和基本知识。通过本课程的学习，要求学生概要地掌握法学的一般原理，了解我国宪法及其他法律的主要规定，并能够运用所学法律知识解决实际生活中存在的一般法律问题，初步培养学生基础的法律分析能力和思维能力。</w:t>
      </w:r>
    </w:p>
    <w:p>
      <w:pPr>
        <w:snapToGrid w:val="0"/>
        <w:spacing w:line="288" w:lineRule="auto"/>
        <w:ind w:firstLine="400" w:firstLineChars="200"/>
        <w:rPr>
          <w:bCs/>
          <w:sz w:val="20"/>
          <w:szCs w:val="20"/>
        </w:rPr>
      </w:pPr>
      <w:r>
        <w:rPr>
          <w:rFonts w:hint="eastAsia"/>
          <w:bCs/>
          <w:color w:val="FF0000"/>
          <w:sz w:val="20"/>
          <w:szCs w:val="20"/>
        </w:rPr>
        <w:t>本课程可达到增强学生法律意识和法制观念、培养学生服务于社会主义法治建设的思政目标。</w:t>
      </w:r>
    </w:p>
    <w:p>
      <w:pPr>
        <w:snapToGrid w:val="0"/>
        <w:spacing w:line="288" w:lineRule="auto"/>
        <w:ind w:firstLine="400" w:firstLineChars="200"/>
        <w:rPr>
          <w:color w:val="000000"/>
          <w:sz w:val="20"/>
          <w:szCs w:val="20"/>
        </w:rPr>
      </w:pPr>
      <w:r>
        <w:rPr>
          <w:rFonts w:hint="eastAsia"/>
          <w:bCs/>
          <w:sz w:val="20"/>
          <w:szCs w:val="20"/>
        </w:rPr>
        <w:t>法律基础课程在文秘课程中的重要性还表现在它同其他课程的联系上，例如，经济法部分同经济学、企业管理、会计学等课程密切联系；行政法部分同行政学、管理学相互依存。</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400" w:firstLineChars="200"/>
        <w:rPr>
          <w:color w:val="000000"/>
          <w:sz w:val="20"/>
          <w:szCs w:val="20"/>
        </w:rPr>
      </w:pPr>
      <w:r>
        <w:rPr>
          <w:rFonts w:hint="eastAsia"/>
          <w:bCs/>
          <w:sz w:val="20"/>
          <w:szCs w:val="20"/>
        </w:rPr>
        <w:t>本课程是专业基础性选修课程，建议秘书学专业一年级学生学习。学习法律基础，应以一定的哲学等社会科学知识为基础，同时，为学习其他有关课程或法律课程奠定法学知识基础。因此，法律基础课程的开设时间原则上应放在哲学、政治经济学等公共基础课之后或同时开设。</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yellow"/>
        </w:rPr>
        <w:t>专业毕业要求</w:t>
      </w:r>
      <w:r>
        <w:rPr>
          <w:rFonts w:ascii="黑体" w:hAnsi="宋体" w:eastAsia="黑体"/>
          <w:sz w:val="24"/>
        </w:rPr>
        <w:t>的关联性（必填项）</w:t>
      </w:r>
    </w:p>
    <w:tbl>
      <w:tblPr>
        <w:tblStyle w:val="4"/>
        <w:tblW w:w="8429" w:type="dxa"/>
        <w:tblInd w:w="93" w:type="dxa"/>
        <w:tblLayout w:type="fixed"/>
        <w:tblCellMar>
          <w:top w:w="0" w:type="dxa"/>
          <w:left w:w="108" w:type="dxa"/>
          <w:bottom w:w="0" w:type="dxa"/>
          <w:right w:w="108" w:type="dxa"/>
        </w:tblCellMar>
      </w:tblPr>
      <w:tblGrid>
        <w:gridCol w:w="700"/>
        <w:gridCol w:w="900"/>
        <w:gridCol w:w="3435"/>
        <w:gridCol w:w="3394"/>
      </w:tblGrid>
      <w:tr>
        <w:tblPrEx>
          <w:tblLayout w:type="fixed"/>
          <w:tblCellMar>
            <w:top w:w="0" w:type="dxa"/>
            <w:left w:w="108" w:type="dxa"/>
            <w:bottom w:w="0" w:type="dxa"/>
            <w:right w:w="108" w:type="dxa"/>
          </w:tblCellMar>
        </w:tblPrEx>
        <w:trPr>
          <w:trHeight w:val="720" w:hRule="atLeast"/>
        </w:trPr>
        <w:tc>
          <w:tcPr>
            <w:tcW w:w="70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L011</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LO112</w:t>
            </w:r>
          </w:p>
        </w:tc>
        <w:tc>
          <w:tcPr>
            <w:tcW w:w="34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应用书面或口头形式，阐释自己的观点，有效沟通。</w:t>
            </w:r>
          </w:p>
        </w:tc>
        <w:tc>
          <w:tcPr>
            <w:tcW w:w="3394"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LO31</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辅助决策</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收集、处理信息，调查研究，能够辅助领导确定决策目标、拟定及实施决策方案，及时向领导反馈落实情况。</w:t>
            </w:r>
          </w:p>
        </w:tc>
        <w:tc>
          <w:tcPr>
            <w:tcW w:w="3394"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sz w:val="22"/>
              </w:rPr>
            </w:pPr>
            <w:r>
              <w:rPr>
                <w:rFonts w:hint="eastAsia" w:ascii="宋体" w:hAnsi="宋体" w:cs="宋体"/>
                <w:color w:val="000000"/>
                <w:kern w:val="0"/>
                <w:sz w:val="22"/>
              </w:rPr>
              <w:t>L035</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sz w:val="20"/>
                <w:szCs w:val="20"/>
              </w:rPr>
            </w:pPr>
            <w:r>
              <w:rPr>
                <w:rFonts w:hint="eastAsia" w:ascii="宋体" w:hAnsi="宋体" w:cs="宋体"/>
                <w:color w:val="000000"/>
                <w:kern w:val="0"/>
                <w:sz w:val="22"/>
              </w:rPr>
              <w:t>文书拟写及处理</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0"/>
                <w:szCs w:val="20"/>
              </w:rPr>
            </w:pPr>
            <w:r>
              <w:rPr>
                <w:rFonts w:hint="eastAsia" w:ascii="宋体" w:hAnsi="宋体" w:cs="宋体"/>
                <w:color w:val="000000"/>
                <w:kern w:val="0"/>
                <w:sz w:val="20"/>
                <w:szCs w:val="20"/>
              </w:rPr>
              <w:t>了解文书基础知识，拟写常用法定公文，拟写常用礼仪文书，拟写常用事务文书，拟写常用商务文书，处理收文与发文，管理文书等。</w:t>
            </w:r>
          </w:p>
        </w:tc>
        <w:tc>
          <w:tcPr>
            <w:tcW w:w="3394"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10" w:hRule="atLeast"/>
        </w:trPr>
        <w:tc>
          <w:tcPr>
            <w:tcW w:w="7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L041</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LO411</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遵纪守法：遵守校纪校规，具备法律意识。</w:t>
            </w:r>
          </w:p>
        </w:tc>
        <w:tc>
          <w:tcPr>
            <w:tcW w:w="3394"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w:t>
            </w:r>
          </w:p>
        </w:tc>
      </w:tr>
      <w:tr>
        <w:tblPrEx>
          <w:tblLayout w:type="fixed"/>
          <w:tblCellMar>
            <w:top w:w="0" w:type="dxa"/>
            <w:left w:w="108" w:type="dxa"/>
            <w:bottom w:w="0" w:type="dxa"/>
            <w:right w:w="108" w:type="dxa"/>
          </w:tblCellMar>
        </w:tblPrEx>
        <w:trPr>
          <w:trHeight w:val="51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LO412</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诚实守信：为人诚实，信守承诺，尽职尽责。</w:t>
            </w:r>
          </w:p>
        </w:tc>
        <w:tc>
          <w:tcPr>
            <w:tcW w:w="3394"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96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LO413</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爱岗敬业：了解与专业相关的法律法规，充分认识本专业就业岗位在社会经济中的作用和地位，在学习和社会实践中遵守职业规范，具备职业道德操守。</w:t>
            </w:r>
          </w:p>
        </w:tc>
        <w:tc>
          <w:tcPr>
            <w:tcW w:w="3394"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51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LO414</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身心健康，能承受学习和生活中的压力。</w:t>
            </w:r>
          </w:p>
        </w:tc>
        <w:tc>
          <w:tcPr>
            <w:tcW w:w="3394"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highlight w:val="yellow"/>
        </w:rPr>
        <w:t>五、</w:t>
      </w:r>
      <w:r>
        <w:rPr>
          <w:rFonts w:ascii="黑体" w:hAnsi="宋体" w:eastAsia="黑体"/>
          <w:sz w:val="24"/>
          <w:highlight w:val="yellow"/>
        </w:rPr>
        <w:t>课程</w:t>
      </w:r>
      <w:r>
        <w:rPr>
          <w:rFonts w:hint="eastAsia" w:ascii="黑体" w:hAnsi="宋体" w:eastAsia="黑体"/>
          <w:sz w:val="24"/>
          <w:highlight w:val="yellow"/>
        </w:rPr>
        <w:t>目标/课程预期学习成果</w:t>
      </w:r>
      <w:r>
        <w:rPr>
          <w:rFonts w:ascii="黑体" w:hAnsi="宋体" w:eastAsia="黑体"/>
          <w:sz w:val="24"/>
          <w:highlight w:val="yellow"/>
        </w:rPr>
        <w:t>（必填项）（</w:t>
      </w:r>
      <w:r>
        <w:rPr>
          <w:rFonts w:hint="eastAsia" w:ascii="黑体" w:hAnsi="宋体" w:eastAsia="黑体"/>
          <w:sz w:val="24"/>
          <w:highlight w:val="yellow"/>
        </w:rPr>
        <w:t>预期学习成果</w:t>
      </w:r>
      <w:r>
        <w:rPr>
          <w:rFonts w:ascii="黑体" w:hAnsi="宋体" w:eastAsia="黑体"/>
          <w:sz w:val="24"/>
          <w:highlight w:val="yellow"/>
        </w:rPr>
        <w:t>要可测量/能够证明）</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tcPr>
          <w:p>
            <w:r>
              <w:rPr>
                <w:rFonts w:hint="eastAsia" w:ascii="宋体" w:hAnsi="宋体" w:cs="宋体"/>
                <w:color w:val="000000"/>
                <w:kern w:val="0"/>
                <w:sz w:val="22"/>
              </w:rPr>
              <w:t>LO112</w:t>
            </w:r>
          </w:p>
        </w:tc>
        <w:tc>
          <w:tcPr>
            <w:tcW w:w="2470" w:type="dxa"/>
            <w:shd w:val="clear" w:color="auto" w:fill="auto"/>
            <w:vAlign w:val="center"/>
          </w:tcPr>
          <w:p>
            <w:r>
              <w:rPr>
                <w:rFonts w:hint="eastAsia"/>
              </w:rPr>
              <w:t>基于法律判断，应用书面或口头形式，阐释自己的观点。</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讲授法</w:t>
            </w:r>
          </w:p>
          <w:p>
            <w:pPr>
              <w:snapToGrid w:val="0"/>
              <w:spacing w:line="288" w:lineRule="auto"/>
              <w:jc w:val="center"/>
              <w:rPr>
                <w:rFonts w:ascii="黑体" w:hAnsi="宋体" w:eastAsia="黑体"/>
                <w:sz w:val="24"/>
              </w:rPr>
            </w:pPr>
            <w:r>
              <w:rPr>
                <w:rFonts w:hint="eastAsia" w:ascii="黑体" w:hAnsi="宋体" w:eastAsia="黑体"/>
                <w:sz w:val="24"/>
              </w:rPr>
              <w:t>案例教学法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LO31</w:t>
            </w:r>
          </w:p>
        </w:tc>
        <w:tc>
          <w:tcPr>
            <w:tcW w:w="2470" w:type="dxa"/>
            <w:shd w:val="clear" w:color="auto" w:fill="auto"/>
          </w:tcPr>
          <w:p>
            <w:r>
              <w:rPr>
                <w:rFonts w:hint="eastAsia"/>
              </w:rPr>
              <w:t>收集、处理信息，调查研究，能够应用法律知识，辅助领导确定相关的决策目标。</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讲授法</w:t>
            </w:r>
          </w:p>
          <w:p>
            <w:pPr>
              <w:snapToGrid w:val="0"/>
              <w:spacing w:line="288" w:lineRule="auto"/>
              <w:jc w:val="center"/>
              <w:rPr>
                <w:rFonts w:ascii="黑体" w:hAnsi="宋体" w:eastAsia="黑体"/>
                <w:sz w:val="24"/>
              </w:rPr>
            </w:pPr>
            <w:r>
              <w:rPr>
                <w:rFonts w:hint="eastAsia" w:ascii="黑体" w:hAnsi="宋体" w:eastAsia="黑体"/>
                <w:sz w:val="24"/>
              </w:rPr>
              <w:t>案例教学法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L035</w:t>
            </w:r>
          </w:p>
        </w:tc>
        <w:tc>
          <w:tcPr>
            <w:tcW w:w="2470" w:type="dxa"/>
            <w:shd w:val="clear" w:color="auto" w:fill="auto"/>
          </w:tcPr>
          <w:p/>
          <w:p>
            <w:r>
              <w:rPr>
                <w:rFonts w:hint="eastAsia"/>
              </w:rPr>
              <w:t>拟写基础法律文书</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讲授法</w:t>
            </w:r>
          </w:p>
          <w:p>
            <w:pPr>
              <w:snapToGrid w:val="0"/>
              <w:spacing w:line="288" w:lineRule="auto"/>
              <w:jc w:val="center"/>
              <w:rPr>
                <w:rFonts w:ascii="黑体" w:hAnsi="宋体" w:eastAsia="黑体"/>
                <w:sz w:val="24"/>
              </w:rPr>
            </w:pPr>
            <w:r>
              <w:rPr>
                <w:rFonts w:hint="eastAsia" w:ascii="黑体" w:hAnsi="宋体" w:eastAsia="黑体"/>
                <w:sz w:val="24"/>
              </w:rPr>
              <w:t>案例教学法</w:t>
            </w:r>
          </w:p>
          <w:p>
            <w:pPr>
              <w:snapToGrid w:val="0"/>
              <w:spacing w:line="288" w:lineRule="auto"/>
              <w:jc w:val="center"/>
              <w:rPr>
                <w:rFonts w:ascii="黑体" w:hAnsi="宋体" w:eastAsia="黑体"/>
                <w:sz w:val="24"/>
              </w:rPr>
            </w:pPr>
            <w:r>
              <w:rPr>
                <w:rFonts w:hint="eastAsia" w:ascii="黑体" w:hAnsi="宋体" w:eastAsia="黑体"/>
                <w:sz w:val="24"/>
              </w:rPr>
              <w:t>诊所式教学法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vAlign w:val="center"/>
          </w:tcPr>
          <w:p>
            <w:pPr>
              <w:widowControl/>
              <w:jc w:val="left"/>
              <w:rPr>
                <w:rFonts w:ascii="宋体" w:hAnsi="宋体" w:cs="宋体"/>
                <w:color w:val="FF0000"/>
                <w:kern w:val="0"/>
                <w:sz w:val="22"/>
              </w:rPr>
            </w:pPr>
            <w:r>
              <w:rPr>
                <w:rFonts w:hint="eastAsia" w:ascii="宋体" w:hAnsi="宋体" w:cs="宋体"/>
                <w:color w:val="FF0000"/>
                <w:kern w:val="0"/>
                <w:sz w:val="22"/>
              </w:rPr>
              <w:t>LO411</w:t>
            </w:r>
          </w:p>
        </w:tc>
        <w:tc>
          <w:tcPr>
            <w:tcW w:w="2470" w:type="dxa"/>
            <w:shd w:val="clear" w:color="auto" w:fill="auto"/>
          </w:tcPr>
          <w:p>
            <w:pPr>
              <w:rPr>
                <w:color w:val="FF0000"/>
              </w:rPr>
            </w:pPr>
            <w:r>
              <w:rPr>
                <w:rFonts w:hint="eastAsia"/>
                <w:color w:val="FF0000"/>
              </w:rPr>
              <w:t>能够在团队合作中主动遵纪守法：遵守校纪校规，具备法律意识。</w:t>
            </w:r>
          </w:p>
        </w:tc>
        <w:tc>
          <w:tcPr>
            <w:tcW w:w="2199"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ascii="黑体" w:hAnsi="宋体" w:eastAsia="黑体"/>
                <w:sz w:val="24"/>
              </w:rPr>
              <w:t>真实情境教学法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法庭旁听小结评价</w:t>
            </w:r>
          </w:p>
        </w:tc>
      </w:tr>
    </w:tbl>
    <w:p>
      <w:pPr>
        <w:snapToGrid w:val="0"/>
        <w:spacing w:line="288" w:lineRule="auto"/>
        <w:ind w:left="420" w:leftChars="20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highlight w:val="yellow"/>
        </w:rPr>
        <w:t>六、</w:t>
      </w:r>
      <w:r>
        <w:rPr>
          <w:rFonts w:ascii="黑体" w:hAnsi="宋体" w:eastAsia="黑体"/>
          <w:sz w:val="24"/>
          <w:highlight w:val="yellow"/>
        </w:rPr>
        <w:t>课程内容（必填项）</w:t>
      </w:r>
    </w:p>
    <w:p>
      <w:pPr>
        <w:snapToGrid w:val="0"/>
        <w:spacing w:line="288" w:lineRule="auto"/>
        <w:ind w:firstLine="400" w:firstLineChars="200"/>
        <w:rPr>
          <w:bCs/>
          <w:sz w:val="20"/>
          <w:szCs w:val="20"/>
        </w:rPr>
      </w:pPr>
      <w:r>
        <w:rPr>
          <w:rFonts w:hint="eastAsia"/>
          <w:bCs/>
          <w:sz w:val="20"/>
          <w:szCs w:val="20"/>
        </w:rPr>
        <w:t>专题一   法学基础理论</w:t>
      </w:r>
    </w:p>
    <w:p>
      <w:pPr>
        <w:snapToGrid w:val="0"/>
        <w:spacing w:line="288" w:lineRule="auto"/>
        <w:ind w:firstLine="400" w:firstLineChars="200"/>
        <w:rPr>
          <w:bCs/>
          <w:sz w:val="20"/>
          <w:szCs w:val="20"/>
        </w:rPr>
      </w:pPr>
      <w:r>
        <w:rPr>
          <w:rFonts w:hint="eastAsia"/>
          <w:bCs/>
          <w:sz w:val="20"/>
          <w:szCs w:val="20"/>
        </w:rPr>
        <w:t>通过学习，了解法学的研究对象和体系，认识马克思主义法学与剥削阶级法学的根本区别，认识法的本质、基本特征、及其发展规律，了解并掌握我国社会主义法的一般原理和我国社会主义法制的基本要求，为学习以后各章奠定理论基础。</w:t>
      </w:r>
    </w:p>
    <w:p>
      <w:pPr>
        <w:snapToGrid w:val="0"/>
        <w:spacing w:line="288" w:lineRule="auto"/>
        <w:ind w:firstLine="400" w:firstLineChars="200"/>
        <w:rPr>
          <w:bCs/>
          <w:sz w:val="20"/>
          <w:szCs w:val="20"/>
        </w:rPr>
      </w:pPr>
      <w:r>
        <w:rPr>
          <w:rFonts w:hint="eastAsia"/>
          <w:bCs/>
          <w:sz w:val="20"/>
          <w:szCs w:val="20"/>
        </w:rPr>
        <w:t>专题二   宪法</w:t>
      </w:r>
    </w:p>
    <w:p>
      <w:pPr>
        <w:snapToGrid w:val="0"/>
        <w:spacing w:line="288" w:lineRule="auto"/>
        <w:ind w:firstLine="400" w:firstLineChars="200"/>
        <w:rPr>
          <w:bCs/>
          <w:sz w:val="20"/>
          <w:szCs w:val="20"/>
        </w:rPr>
      </w:pPr>
      <w:r>
        <w:rPr>
          <w:rFonts w:hint="eastAsia"/>
          <w:bCs/>
          <w:sz w:val="20"/>
          <w:szCs w:val="20"/>
        </w:rPr>
        <w:t>通过学习，掌握宪法的一般原理和我国宪法的基本内容，认识宪法在国家政治生活中的重要地位和作用，懂得如何遵守宪法和监督宪法的实施。</w:t>
      </w:r>
    </w:p>
    <w:p>
      <w:pPr>
        <w:snapToGrid w:val="0"/>
        <w:spacing w:line="288" w:lineRule="auto"/>
        <w:ind w:firstLine="400" w:firstLineChars="200"/>
        <w:rPr>
          <w:bCs/>
          <w:sz w:val="20"/>
          <w:szCs w:val="20"/>
        </w:rPr>
      </w:pPr>
      <w:r>
        <w:rPr>
          <w:rFonts w:hint="eastAsia"/>
          <w:bCs/>
          <w:sz w:val="20"/>
          <w:szCs w:val="20"/>
        </w:rPr>
        <w:t>专题三   行政法和行政诉讼法</w:t>
      </w:r>
    </w:p>
    <w:p>
      <w:pPr>
        <w:snapToGrid w:val="0"/>
        <w:spacing w:line="288" w:lineRule="auto"/>
        <w:ind w:firstLine="400" w:firstLineChars="200"/>
        <w:rPr>
          <w:bCs/>
          <w:sz w:val="20"/>
          <w:szCs w:val="20"/>
        </w:rPr>
      </w:pPr>
      <w:r>
        <w:rPr>
          <w:rFonts w:hint="eastAsia"/>
          <w:bCs/>
          <w:sz w:val="20"/>
          <w:szCs w:val="20"/>
        </w:rPr>
        <w:t>通过学习，了解行政法的概念和调整对象，掌握行政法的基本原则，认识行政主体、行政行为，了解行政程序和行政违法、行政责任和行政制裁。</w:t>
      </w:r>
    </w:p>
    <w:p>
      <w:pPr>
        <w:snapToGrid w:val="0"/>
        <w:spacing w:line="288" w:lineRule="auto"/>
        <w:ind w:firstLine="400" w:firstLineChars="200"/>
        <w:rPr>
          <w:bCs/>
          <w:sz w:val="20"/>
          <w:szCs w:val="20"/>
        </w:rPr>
      </w:pPr>
      <w:r>
        <w:rPr>
          <w:rFonts w:hint="eastAsia"/>
          <w:bCs/>
          <w:sz w:val="20"/>
          <w:szCs w:val="20"/>
        </w:rPr>
        <w:t>通过学习，了解行政诉讼的概念和原则，认识行政诉讼的审判组织极其受案范围和管辖，了解行政诉讼参加人，掌握行政诉讼程序。</w:t>
      </w:r>
    </w:p>
    <w:p>
      <w:pPr>
        <w:snapToGrid w:val="0"/>
        <w:spacing w:line="288" w:lineRule="auto"/>
        <w:ind w:firstLine="400" w:firstLineChars="200"/>
        <w:rPr>
          <w:bCs/>
          <w:sz w:val="20"/>
          <w:szCs w:val="20"/>
        </w:rPr>
      </w:pPr>
      <w:r>
        <w:rPr>
          <w:rFonts w:hint="eastAsia"/>
          <w:bCs/>
          <w:sz w:val="20"/>
          <w:szCs w:val="20"/>
        </w:rPr>
        <w:t>专题四  刑法</w:t>
      </w:r>
    </w:p>
    <w:p>
      <w:pPr>
        <w:snapToGrid w:val="0"/>
        <w:spacing w:line="288" w:lineRule="auto"/>
        <w:ind w:firstLine="400" w:firstLineChars="200"/>
        <w:rPr>
          <w:bCs/>
          <w:sz w:val="20"/>
          <w:szCs w:val="20"/>
        </w:rPr>
      </w:pPr>
      <w:r>
        <w:rPr>
          <w:rFonts w:hint="eastAsia"/>
          <w:bCs/>
          <w:sz w:val="20"/>
          <w:szCs w:val="20"/>
        </w:rPr>
        <w:t>通过学习，了解刑法的概念、基本原则和适用范围，掌握犯罪和刑事责任的概念和特征，认识犯罪构成，认识正当防卫和紧急避险，了解关于共同犯罪的规定，掌握量刑原则和刑罚的规定。了解并掌握我国常见的犯罪及其刑事责任。</w:t>
      </w:r>
    </w:p>
    <w:p>
      <w:pPr>
        <w:snapToGrid w:val="0"/>
        <w:spacing w:line="288" w:lineRule="auto"/>
        <w:ind w:firstLine="400" w:firstLineChars="200"/>
        <w:rPr>
          <w:bCs/>
          <w:sz w:val="20"/>
          <w:szCs w:val="20"/>
        </w:rPr>
      </w:pPr>
      <w:r>
        <w:rPr>
          <w:rFonts w:hint="eastAsia"/>
          <w:bCs/>
          <w:sz w:val="20"/>
          <w:szCs w:val="20"/>
        </w:rPr>
        <w:t>专题五  民法</w:t>
      </w:r>
    </w:p>
    <w:p>
      <w:pPr>
        <w:snapToGrid w:val="0"/>
        <w:spacing w:line="288" w:lineRule="auto"/>
        <w:ind w:firstLine="400" w:firstLineChars="200"/>
        <w:rPr>
          <w:bCs/>
          <w:sz w:val="20"/>
          <w:szCs w:val="20"/>
        </w:rPr>
      </w:pPr>
      <w:r>
        <w:rPr>
          <w:rFonts w:hint="eastAsia"/>
          <w:bCs/>
          <w:sz w:val="20"/>
          <w:szCs w:val="20"/>
        </w:rPr>
        <w:t>通过学习，了解我国民法的概念、调整对象、基本原则，掌握民事主体、民事权利、民事法律行为和代理、民事责任等的有关规定。了解并掌握婚姻家庭法、财产继承法等的主要规定。</w:t>
      </w:r>
    </w:p>
    <w:p>
      <w:pPr>
        <w:snapToGrid w:val="0"/>
        <w:spacing w:line="288" w:lineRule="auto"/>
        <w:ind w:firstLine="400" w:firstLineChars="200"/>
        <w:rPr>
          <w:bCs/>
          <w:sz w:val="20"/>
          <w:szCs w:val="20"/>
        </w:rPr>
      </w:pPr>
      <w:r>
        <w:rPr>
          <w:rFonts w:hint="eastAsia"/>
          <w:bCs/>
          <w:sz w:val="20"/>
          <w:szCs w:val="20"/>
        </w:rPr>
        <w:t>专题六  刑事诉讼法</w:t>
      </w:r>
    </w:p>
    <w:p>
      <w:pPr>
        <w:snapToGrid w:val="0"/>
        <w:spacing w:line="288" w:lineRule="auto"/>
        <w:ind w:firstLine="400" w:firstLineChars="200"/>
        <w:rPr>
          <w:bCs/>
          <w:sz w:val="20"/>
          <w:szCs w:val="20"/>
        </w:rPr>
      </w:pPr>
      <w:r>
        <w:rPr>
          <w:rFonts w:hint="eastAsia"/>
          <w:bCs/>
          <w:sz w:val="20"/>
          <w:szCs w:val="20"/>
        </w:rPr>
        <w:t>通过学习，了解我国刑事诉讼法的概念和基本任务，掌握刑事诉讼管辖和刑事诉讼程序的规定，认识刑事诉讼证据和刑事强制措施。</w:t>
      </w:r>
    </w:p>
    <w:p>
      <w:pPr>
        <w:snapToGrid w:val="0"/>
        <w:spacing w:line="288" w:lineRule="auto"/>
        <w:ind w:firstLine="400" w:firstLineChars="200"/>
        <w:rPr>
          <w:bCs/>
          <w:sz w:val="20"/>
          <w:szCs w:val="20"/>
        </w:rPr>
      </w:pPr>
      <w:r>
        <w:rPr>
          <w:rFonts w:hint="eastAsia"/>
          <w:bCs/>
          <w:sz w:val="20"/>
          <w:szCs w:val="20"/>
        </w:rPr>
        <w:t>专题七  民事诉讼法</w:t>
      </w:r>
    </w:p>
    <w:p>
      <w:pPr>
        <w:snapToGrid w:val="0"/>
        <w:spacing w:line="288" w:lineRule="auto"/>
        <w:ind w:firstLine="400" w:firstLineChars="200"/>
        <w:rPr>
          <w:bCs/>
          <w:sz w:val="20"/>
          <w:szCs w:val="20"/>
        </w:rPr>
      </w:pPr>
      <w:r>
        <w:rPr>
          <w:rFonts w:hint="eastAsia"/>
          <w:bCs/>
          <w:sz w:val="20"/>
          <w:szCs w:val="20"/>
        </w:rPr>
        <w:t>通过学习，掌握我国民事诉讼法的基本原则、民事诉讼的管辖以及民事诉讼参加人的有关规定，认识财产保全和先予执行制度，了解民事诉讼证据，掌握民事诉讼程序。</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exac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法庭旁听</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left"/>
            </w:pPr>
            <w:r>
              <w:rPr>
                <w:rFonts w:hint="eastAsia"/>
              </w:rPr>
              <w:t>1）组织学生到上海市各法院旁听法庭庭审过程，了解法庭审理案件的整个程序，切身感受国家法律的严肃性，增强法律意识；2）完成法庭旁听小结；3）交流互动。</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10</w:t>
            </w:r>
          </w:p>
        </w:tc>
        <w:tc>
          <w:tcPr>
            <w:tcW w:w="1057" w:type="dxa"/>
            <w:tcBorders>
              <w:left w:val="single" w:color="auto" w:sz="4" w:space="0"/>
              <w:right w:val="single" w:color="auto" w:sz="4" w:space="0"/>
            </w:tcBorders>
          </w:tcPr>
          <w:p>
            <w:pPr>
              <w:snapToGrid w:val="0"/>
              <w:spacing w:before="156" w:beforeLines="50" w:after="156" w:afterLines="50" w:line="288" w:lineRule="auto"/>
              <w:jc w:val="center"/>
            </w:pPr>
            <w:r>
              <w:rPr>
                <w:rFonts w:hint="eastAsia"/>
              </w:rPr>
              <w:t>综合</w:t>
            </w:r>
          </w:p>
        </w:tc>
        <w:tc>
          <w:tcPr>
            <w:tcW w:w="1715" w:type="dxa"/>
            <w:tcBorders>
              <w:left w:val="single" w:color="auto" w:sz="4" w:space="0"/>
              <w:right w:val="single" w:color="auto" w:sz="4" w:space="0"/>
            </w:tcBorders>
            <w:vAlign w:val="center"/>
          </w:tcPr>
          <w:p>
            <w:pPr>
              <w:snapToGrid w:val="0"/>
              <w:spacing w:before="156" w:beforeLines="50" w:after="156" w:afterLines="50"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exac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角色模拟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left"/>
            </w:pPr>
            <w:r>
              <w:rPr>
                <w:rFonts w:hint="eastAsia"/>
              </w:rPr>
              <w:t>根据典型案例，模拟律师、检察官等不同角色，培养学生的法律思维及表达能力</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2</w:t>
            </w:r>
          </w:p>
        </w:tc>
        <w:tc>
          <w:tcPr>
            <w:tcW w:w="1057" w:type="dxa"/>
            <w:tcBorders>
              <w:left w:val="single" w:color="auto" w:sz="4" w:space="0"/>
              <w:right w:val="single" w:color="auto" w:sz="4" w:space="0"/>
            </w:tcBorders>
          </w:tcPr>
          <w:p>
            <w:pPr>
              <w:snapToGrid w:val="0"/>
              <w:spacing w:before="156" w:beforeLines="50" w:after="156" w:afterLines="50" w:line="288" w:lineRule="auto"/>
              <w:jc w:val="center"/>
            </w:pPr>
            <w:r>
              <w:rPr>
                <w:rFonts w:hint="eastAsia"/>
              </w:rPr>
              <w:t>综合</w:t>
            </w:r>
          </w:p>
        </w:tc>
        <w:tc>
          <w:tcPr>
            <w:tcW w:w="1715" w:type="dxa"/>
            <w:tcBorders>
              <w:left w:val="single" w:color="auto" w:sz="4" w:space="0"/>
              <w:right w:val="single" w:color="auto" w:sz="4" w:space="0"/>
            </w:tcBorders>
            <w:vAlign w:val="center"/>
          </w:tcPr>
          <w:p>
            <w:pPr>
              <w:snapToGrid w:val="0"/>
              <w:spacing w:before="156" w:beforeLines="50" w:after="156" w:afterLines="50" w:line="288"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exact"/>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读书报告</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left"/>
            </w:pPr>
            <w:r>
              <w:rPr>
                <w:rFonts w:hint="eastAsia"/>
              </w:rPr>
              <w:t>借阅法律及相关专业图书，收集、统整、研读图书材料，分析、归纳、提炼，完成读书报告。</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pPr>
            <w:r>
              <w:rPr>
                <w:rFonts w:hint="eastAsia"/>
              </w:rPr>
              <w:t>4</w:t>
            </w:r>
          </w:p>
        </w:tc>
        <w:tc>
          <w:tcPr>
            <w:tcW w:w="1057" w:type="dxa"/>
            <w:tcBorders>
              <w:left w:val="single" w:color="auto" w:sz="4" w:space="0"/>
              <w:right w:val="single" w:color="auto" w:sz="4" w:space="0"/>
            </w:tcBorders>
          </w:tcPr>
          <w:p>
            <w:pPr>
              <w:snapToGrid w:val="0"/>
              <w:spacing w:before="156" w:beforeLines="50" w:after="156" w:afterLines="50" w:line="288" w:lineRule="auto"/>
              <w:jc w:val="center"/>
            </w:pPr>
            <w:r>
              <w:rPr>
                <w:rFonts w:hint="eastAsia"/>
              </w:rPr>
              <w:t>综合</w:t>
            </w:r>
          </w:p>
        </w:tc>
        <w:tc>
          <w:tcPr>
            <w:tcW w:w="1715" w:type="dxa"/>
            <w:tcBorders>
              <w:left w:val="single" w:color="auto" w:sz="4" w:space="0"/>
              <w:right w:val="single" w:color="auto" w:sz="4" w:space="0"/>
            </w:tcBorders>
            <w:vAlign w:val="center"/>
          </w:tcPr>
          <w:p>
            <w:pPr>
              <w:snapToGrid w:val="0"/>
              <w:spacing w:before="156" w:beforeLines="50" w:after="156" w:afterLines="50" w:line="288" w:lineRule="auto"/>
              <w:jc w:val="center"/>
            </w:pPr>
          </w:p>
        </w:tc>
      </w:tr>
    </w:tbl>
    <w:p>
      <w:pPr>
        <w:widowControl/>
        <w:spacing w:before="156" w:beforeLines="50" w:after="156" w:afterLines="50" w:line="288" w:lineRule="auto"/>
        <w:jc w:val="left"/>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八、实践环节各阶段名称及基本要求（选填，适用于集中实践、实习、毕业设计等）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71"/>
        <w:gridCol w:w="3240"/>
        <w:gridCol w:w="126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r>
              <w:rPr>
                <w:rFonts w:hint="eastAsia"/>
                <w:bCs/>
                <w:color w:val="000000"/>
                <w:szCs w:val="20"/>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r>
              <w:rPr>
                <w:rFonts w:hint="eastAsia"/>
                <w:bCs/>
                <w:color w:val="000000"/>
                <w:szCs w:val="20"/>
              </w:rPr>
              <w:t>各阶段名称</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r>
              <w:rPr>
                <w:rFonts w:hint="eastAsia"/>
                <w:bCs/>
                <w:color w:val="000000"/>
                <w:szCs w:val="20"/>
              </w:rPr>
              <w:t>实践主要内容</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r>
              <w:rPr>
                <w:rFonts w:hint="eastAsia"/>
                <w:bCs/>
                <w:color w:val="000000"/>
                <w:szCs w:val="20"/>
              </w:rPr>
              <w:t>天数/周数</w:t>
            </w:r>
          </w:p>
        </w:tc>
        <w:tc>
          <w:tcPr>
            <w:tcW w:w="842" w:type="dxa"/>
            <w:tcBorders>
              <w:top w:val="single" w:color="auto" w:sz="4" w:space="0"/>
              <w:left w:val="single" w:color="auto" w:sz="4" w:space="0"/>
              <w:right w:val="single" w:color="auto" w:sz="4" w:space="0"/>
            </w:tcBorders>
            <w:vAlign w:val="center"/>
          </w:tcPr>
          <w:p>
            <w:pPr>
              <w:snapToGrid w:val="0"/>
              <w:spacing w:before="156" w:beforeLines="50" w:after="156" w:afterLines="50"/>
              <w:jc w:val="center"/>
              <w:rPr>
                <w:bCs/>
                <w:color w:val="000000"/>
                <w:szCs w:val="20"/>
              </w:rPr>
            </w:pPr>
            <w:r>
              <w:rPr>
                <w:rFonts w:hint="eastAsia"/>
                <w:bCs/>
                <w:color w:val="00000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exact"/>
        </w:trPr>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21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842" w:type="dxa"/>
            <w:tcBorders>
              <w:left w:val="single" w:color="auto" w:sz="4" w:space="0"/>
              <w:right w:val="single" w:color="auto" w:sz="4" w:space="0"/>
            </w:tcBorders>
            <w:vAlign w:val="center"/>
          </w:tcPr>
          <w:p>
            <w:pPr>
              <w:snapToGrid w:val="0"/>
              <w:spacing w:before="156" w:beforeLines="50" w:after="156" w:afterLines="50"/>
              <w:jc w:val="center"/>
              <w:rPr>
                <w:bCs/>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21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jc w:val="center"/>
              <w:rPr>
                <w:bCs/>
                <w:color w:val="000000"/>
                <w:szCs w:val="20"/>
              </w:rPr>
            </w:pPr>
          </w:p>
        </w:tc>
        <w:tc>
          <w:tcPr>
            <w:tcW w:w="842" w:type="dxa"/>
            <w:tcBorders>
              <w:left w:val="single" w:color="auto" w:sz="4" w:space="0"/>
              <w:right w:val="single" w:color="auto" w:sz="4" w:space="0"/>
            </w:tcBorders>
            <w:vAlign w:val="center"/>
          </w:tcPr>
          <w:p>
            <w:pPr>
              <w:snapToGrid w:val="0"/>
              <w:spacing w:before="156" w:beforeLines="50" w:after="156" w:afterLines="50"/>
              <w:jc w:val="center"/>
              <w:rPr>
                <w:bCs/>
                <w:color w:val="000000"/>
                <w:szCs w:val="20"/>
              </w:rPr>
            </w:pPr>
          </w:p>
        </w:tc>
      </w:tr>
    </w:tbl>
    <w:p>
      <w:pPr>
        <w:widowControl/>
        <w:spacing w:before="156" w:beforeLines="50" w:after="156" w:afterLines="50"/>
        <w:ind w:firstLine="300" w:firstLineChars="150"/>
        <w:jc w:val="left"/>
        <w:rPr>
          <w:bCs/>
          <w:sz w:val="20"/>
          <w:szCs w:val="20"/>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九、评价方式与成绩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bCs/>
                <w:color w:val="000000"/>
                <w:szCs w:val="20"/>
              </w:rPr>
            </w:pPr>
            <w:r>
              <w:rPr>
                <w:bCs/>
                <w:color w:val="000000"/>
                <w:szCs w:val="20"/>
              </w:rPr>
              <w:t>1</w:t>
            </w:r>
          </w:p>
        </w:tc>
        <w:tc>
          <w:tcPr>
            <w:tcW w:w="5103" w:type="dxa"/>
            <w:shd w:val="clear" w:color="auto" w:fill="auto"/>
          </w:tcPr>
          <w:p>
            <w:pPr>
              <w:snapToGrid w:val="0"/>
              <w:spacing w:before="156" w:beforeLines="50" w:after="156" w:afterLines="50"/>
              <w:jc w:val="center"/>
              <w:rPr>
                <w:bCs/>
                <w:color w:val="000000"/>
                <w:szCs w:val="20"/>
              </w:rPr>
            </w:pPr>
            <w:r>
              <w:rPr>
                <w:rFonts w:hint="eastAsia"/>
                <w:bCs/>
                <w:color w:val="000000"/>
                <w:szCs w:val="20"/>
              </w:rPr>
              <w:t>期末测试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bCs/>
                <w:color w:val="000000"/>
                <w:szCs w:val="20"/>
              </w:rPr>
            </w:pPr>
            <w:r>
              <w:rPr>
                <w:bCs/>
                <w:color w:val="000000"/>
                <w:szCs w:val="20"/>
              </w:rPr>
              <w:t>X1</w:t>
            </w:r>
          </w:p>
        </w:tc>
        <w:tc>
          <w:tcPr>
            <w:tcW w:w="5103" w:type="dxa"/>
            <w:shd w:val="clear" w:color="auto" w:fill="auto"/>
          </w:tcPr>
          <w:p>
            <w:pPr>
              <w:snapToGrid w:val="0"/>
              <w:spacing w:before="156" w:beforeLines="50" w:after="156" w:afterLines="50"/>
              <w:jc w:val="center"/>
              <w:rPr>
                <w:bCs/>
                <w:color w:val="000000"/>
                <w:szCs w:val="20"/>
              </w:rPr>
            </w:pPr>
            <w:r>
              <w:rPr>
                <w:rFonts w:hint="eastAsia"/>
                <w:bCs/>
                <w:color w:val="000000"/>
                <w:szCs w:val="20"/>
              </w:rPr>
              <w:t>作业及课堂互动</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bCs/>
                <w:color w:val="000000"/>
                <w:szCs w:val="20"/>
              </w:rPr>
            </w:pPr>
            <w:r>
              <w:rPr>
                <w:bCs/>
                <w:color w:val="000000"/>
                <w:szCs w:val="20"/>
              </w:rPr>
              <w:t>X2</w:t>
            </w:r>
          </w:p>
        </w:tc>
        <w:tc>
          <w:tcPr>
            <w:tcW w:w="5103" w:type="dxa"/>
            <w:shd w:val="clear" w:color="auto" w:fill="auto"/>
          </w:tcPr>
          <w:p>
            <w:pPr>
              <w:snapToGrid w:val="0"/>
              <w:spacing w:before="156" w:beforeLines="50" w:after="156" w:afterLines="50"/>
              <w:jc w:val="center"/>
              <w:rPr>
                <w:bCs/>
                <w:color w:val="000000"/>
                <w:szCs w:val="20"/>
              </w:rPr>
            </w:pPr>
            <w:r>
              <w:rPr>
                <w:rFonts w:hint="eastAsia"/>
                <w:bCs/>
                <w:color w:val="000000"/>
                <w:szCs w:val="20"/>
              </w:rPr>
              <w:t>中期大作业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bCs/>
                <w:color w:val="000000"/>
                <w:szCs w:val="20"/>
              </w:rPr>
            </w:pPr>
            <w:r>
              <w:rPr>
                <w:bCs/>
                <w:color w:val="000000"/>
                <w:szCs w:val="20"/>
              </w:rPr>
              <w:t>X3</w:t>
            </w:r>
          </w:p>
        </w:tc>
        <w:tc>
          <w:tcPr>
            <w:tcW w:w="5103" w:type="dxa"/>
            <w:shd w:val="clear" w:color="auto" w:fill="auto"/>
          </w:tcPr>
          <w:p>
            <w:pPr>
              <w:snapToGrid w:val="0"/>
              <w:spacing w:before="156" w:beforeLines="50" w:after="156" w:afterLines="50"/>
              <w:jc w:val="center"/>
              <w:rPr>
                <w:bCs/>
                <w:color w:val="000000"/>
                <w:szCs w:val="20"/>
              </w:rPr>
            </w:pPr>
            <w:r>
              <w:rPr>
                <w:rFonts w:hint="eastAsia"/>
                <w:bCs/>
                <w:color w:val="000000"/>
                <w:szCs w:val="20"/>
              </w:rPr>
              <w:t>法庭旁听成果评价</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p>
        </w:tc>
      </w:tr>
    </w:tbl>
    <w:p>
      <w:pPr>
        <w:snapToGrid w:val="0"/>
        <w:spacing w:line="288" w:lineRule="auto"/>
        <w:ind w:right="2520" w:firstLine="400" w:firstLineChars="200"/>
        <w:rPr>
          <w:sz w:val="20"/>
          <w:szCs w:val="20"/>
        </w:rPr>
      </w:pPr>
    </w:p>
    <w:p>
      <w:pPr>
        <w:widowControl/>
        <w:spacing w:before="156" w:beforeLines="50" w:after="156" w:afterLines="50" w:line="288" w:lineRule="auto"/>
        <w:jc w:val="left"/>
        <w:rPr>
          <w:rFonts w:ascii="黑体" w:hAnsi="宋体" w:eastAsia="黑体"/>
          <w:sz w:val="24"/>
        </w:rPr>
      </w:pPr>
    </w:p>
    <w:p>
      <w:pPr>
        <w:snapToGrid w:val="0"/>
        <w:spacing w:before="156"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highlight w:val="yellow"/>
        </w:rPr>
        <w:t>一般课外扩展阅读的检查评价应该成为“X”中的一部分。</w:t>
      </w:r>
    </w:p>
    <w:p>
      <w:pPr>
        <w:snapToGrid w:val="0"/>
        <w:spacing w:before="120" w:after="120" w:line="288" w:lineRule="auto"/>
        <w:ind w:firstLine="400" w:firstLineChars="200"/>
        <w:rPr>
          <w:rFonts w:ascii="宋体" w:hAnsi="宋体"/>
          <w:sz w:val="20"/>
          <w:szCs w:val="20"/>
          <w:highlight w:val="yellow"/>
        </w:rPr>
      </w:pPr>
      <w:r>
        <w:rPr>
          <w:rFonts w:hint="eastAsia" w:ascii="宋体" w:hAnsi="宋体"/>
          <w:sz w:val="20"/>
          <w:szCs w:val="20"/>
          <w:highlight w:val="yellow"/>
        </w:rPr>
        <w:t>同一门课程由多个教师共同授课的，由课程组共同讨论决定X的内容、次数及比例。</w:t>
      </w: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撰写人：徐磊       系主任审核签名：徐磊</w:t>
      </w:r>
    </w:p>
    <w:p>
      <w:pPr>
        <w:snapToGrid w:val="0"/>
        <w:spacing w:line="288" w:lineRule="auto"/>
        <w:ind w:firstLine="840" w:firstLineChars="300"/>
        <w:rPr>
          <w:rFonts w:hint="default" w:eastAsia="宋体"/>
          <w:sz w:val="28"/>
          <w:szCs w:val="28"/>
          <w:lang w:val="en-US" w:eastAsia="zh-CN"/>
        </w:rPr>
      </w:pPr>
      <w:r>
        <w:rPr>
          <w:rFonts w:hint="eastAsia"/>
          <w:sz w:val="28"/>
          <w:szCs w:val="28"/>
        </w:rPr>
        <w:t>审核时间：</w:t>
      </w:r>
      <w:r>
        <w:rPr>
          <w:rFonts w:hint="default"/>
          <w:sz w:val="28"/>
          <w:szCs w:val="28"/>
          <w:lang w:val="en-US"/>
        </w:rPr>
        <w:t>2019</w:t>
      </w:r>
      <w:r>
        <w:rPr>
          <w:rFonts w:hint="eastAsia"/>
          <w:sz w:val="28"/>
          <w:szCs w:val="28"/>
          <w:lang w:val="en-US" w:eastAsia="zh-CN"/>
        </w:rPr>
        <w:t>年9月</w:t>
      </w:r>
      <w:bookmarkStart w:id="1" w:name="_GoBack"/>
      <w:bookmarkEnd w:id="1"/>
    </w:p>
    <w:p>
      <w:pPr>
        <w:spacing w:line="288"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23F4"/>
    <w:rsid w:val="0005620A"/>
    <w:rsid w:val="00102EAC"/>
    <w:rsid w:val="001072BC"/>
    <w:rsid w:val="0019155F"/>
    <w:rsid w:val="001D2A4C"/>
    <w:rsid w:val="00256B39"/>
    <w:rsid w:val="0026033C"/>
    <w:rsid w:val="002E3721"/>
    <w:rsid w:val="00313BBA"/>
    <w:rsid w:val="0032602E"/>
    <w:rsid w:val="003367AE"/>
    <w:rsid w:val="003B1258"/>
    <w:rsid w:val="004100B0"/>
    <w:rsid w:val="005304C0"/>
    <w:rsid w:val="005467DC"/>
    <w:rsid w:val="00553D03"/>
    <w:rsid w:val="005B2B6D"/>
    <w:rsid w:val="005B4B4E"/>
    <w:rsid w:val="00624FE1"/>
    <w:rsid w:val="00631DD8"/>
    <w:rsid w:val="007208D6"/>
    <w:rsid w:val="007307FC"/>
    <w:rsid w:val="0080761C"/>
    <w:rsid w:val="008B397C"/>
    <w:rsid w:val="008B47F4"/>
    <w:rsid w:val="00900019"/>
    <w:rsid w:val="00901434"/>
    <w:rsid w:val="0099063E"/>
    <w:rsid w:val="009F0735"/>
    <w:rsid w:val="00A02F17"/>
    <w:rsid w:val="00A769B1"/>
    <w:rsid w:val="00A837D5"/>
    <w:rsid w:val="00AC4C45"/>
    <w:rsid w:val="00B46F21"/>
    <w:rsid w:val="00B511A5"/>
    <w:rsid w:val="00B73449"/>
    <w:rsid w:val="00B736A7"/>
    <w:rsid w:val="00B7651F"/>
    <w:rsid w:val="00BF6F1D"/>
    <w:rsid w:val="00C56E09"/>
    <w:rsid w:val="00CF096B"/>
    <w:rsid w:val="00D5366F"/>
    <w:rsid w:val="00DB5B2C"/>
    <w:rsid w:val="00E14BCE"/>
    <w:rsid w:val="00E16D30"/>
    <w:rsid w:val="00E33169"/>
    <w:rsid w:val="00E70904"/>
    <w:rsid w:val="00EF44B1"/>
    <w:rsid w:val="00F35AA0"/>
    <w:rsid w:val="016E63C2"/>
    <w:rsid w:val="024B0C39"/>
    <w:rsid w:val="0A8128A6"/>
    <w:rsid w:val="0BF32A1B"/>
    <w:rsid w:val="10BD2C22"/>
    <w:rsid w:val="22987C80"/>
    <w:rsid w:val="24192CCC"/>
    <w:rsid w:val="39A66CD4"/>
    <w:rsid w:val="3CD52CE1"/>
    <w:rsid w:val="410F2E6A"/>
    <w:rsid w:val="4430136C"/>
    <w:rsid w:val="4AB0382B"/>
    <w:rsid w:val="55DE283A"/>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455</Words>
  <Characters>2595</Characters>
  <Lines>21</Lines>
  <Paragraphs>6</Paragraphs>
  <TotalTime>40</TotalTime>
  <ScaleCrop>false</ScaleCrop>
  <LinksUpToDate>false</LinksUpToDate>
  <CharactersWithSpaces>3044</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2019-02-25T04:38:00Z</dcterms:created>
  <dc:creator>juvg</dc:creator>
  <cp:lastModifiedBy>Administrator</cp:lastModifiedBy>
  <dcterms:modified xsi:type="dcterms:W3CDTF">2019-09-16T05:35:46Z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