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51"/>
        <w:gridCol w:w="1418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2038066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文学作品欣赏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2学分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李欣田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595392026@qq.com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全校选修学生</w:t>
            </w:r>
          </w:p>
        </w:tc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40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：每周三下午78910节课    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地点: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2号楼102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13636635663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文学作品阅读与欣赏（第四版）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乔正康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fldChar w:fldCharType="begin"/>
            </w:r>
            <w:r>
              <w:instrText xml:space="preserve"> HYPERLINK "http://search.dangdang.com/?key3=%B6%AB%B1%B1%B2%C6%BE%AD%B4%F3%D1%A7%B3%F6%B0%E6%C9%E7%D3%D0%CF%DE%D4%F0%C8%CE%B9%AB%CB%BE&amp;medium=01&amp;category_path=01.00.00.00.00.00"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东北财经大学出版社有限责任公司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2018年03月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bookmarkStart w:id="0" w:name="itemlist-title"/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外国文学作品选</w:t>
            </w:r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fldChar w:fldCharType="begin"/>
            </w:r>
            <w:r>
              <w:instrText xml:space="preserve"> HYPERLINK "http://search.dangdang.com/?key2=聂珍钊&amp;medium=01&amp;category_path=01.00.00.00.00.00" \o "聂珍钊 苏晖" </w:instrText>
            </w:r>
            <w: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聂珍钊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bookmarkStart w:id="1" w:name="itemlist-author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、</w:t>
            </w:r>
            <w:r>
              <w:fldChar w:fldCharType="begin"/>
            </w:r>
            <w:r>
              <w:instrText xml:space="preserve"> HYPERLINK "http://search.dangdang.com/?key2=苏晖&amp;medium=01&amp;category_path=01.00.00.00.00.00" \o "聂珍钊 苏晖" </w:instrText>
            </w:r>
            <w: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苏晖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bookmarkEnd w:id="1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著，</w:t>
            </w:r>
            <w:bookmarkStart w:id="2" w:name="P_cbs"/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instrText xml:space="preserve"> HYPERLINK "http://search.dangdang.com/?key=&amp;key3=%B8%DF%B5%C8%BD%CC%D3%FD%B3%F6%B0%E6%C9%E7&amp;medium=01&amp;category_path=01.00.00.00.00.00" \o "高等教育出版社" </w:instrTex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高等教育出版社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fldChar w:fldCharType="end"/>
            </w:r>
            <w:bookmarkEnd w:id="2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，2017年9月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《中国现当代文学作品选读(修订版)》肖涛、李玲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，西北工业大学出版社，2014年版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  <w:bookmarkStart w:id="3" w:name="_GoBack"/>
      <w:bookmarkEnd w:id="3"/>
    </w:p>
    <w:tbl>
      <w:tblPr>
        <w:tblStyle w:val="7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鲁迅《狂人日记》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曹禺《雷雨》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钱钟书《围城》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萧红《呼兰河传》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作业《我的家乡》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陈忠实《白鹿原》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张爱玲《金锁记》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沈从文《边城》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路遥《平凡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世界》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作业写读后感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余华《活着》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莫言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《生死疲劳》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卡勒德·胡赛尼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的《追风筝的人》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海明威的《老人与海》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奥斯特洛夫斯基的《钢铁是怎样炼成的》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作业小论文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斯蒂芬</w:t>
            </w:r>
            <w:r>
              <w:rPr>
                <w:rFonts w:ascii="宋体" w:hAnsi="宋体" w:eastAsia="宋体"/>
                <w:sz w:val="21"/>
                <w:szCs w:val="21"/>
              </w:rPr>
              <w:t>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金的《肖申克的救赎》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观看编剧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村上春树的《挪威的森林》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讲授式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提前阅读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7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模仿写作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读后感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小论文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X4</w:t>
            </w:r>
          </w:p>
        </w:tc>
        <w:tc>
          <w:tcPr>
            <w:tcW w:w="5103" w:type="dxa"/>
            <w:shd w:val="clear" w:color="auto" w:fill="auto"/>
          </w:tcPr>
          <w:p>
            <w:pPr>
              <w:spacing w:line="288" w:lineRule="auto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期终开卷考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40%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李欣田    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2018年9月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黑体">
    <w:panose1 w:val="02010609060101010101"/>
    <w:charset w:val="88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5"/>
        <w:rFonts w:ascii="ITC Bookman Demi" w:hAnsi="ITC Bookman Demi"/>
        <w:color w:val="FFFFFF"/>
        <w:sz w:val="26"/>
        <w:szCs w:val="26"/>
      </w:rPr>
    </w:pP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5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5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5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5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1439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57A4C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4993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7C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6EA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1952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D510D98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0DDE99-50EA-454C-98A3-130176AB5B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252</Words>
  <Characters>1437</Characters>
  <Lines>11</Lines>
  <Paragraphs>3</Paragraphs>
  <TotalTime>7</TotalTime>
  <ScaleCrop>false</ScaleCrop>
  <LinksUpToDate>false</LinksUpToDate>
  <CharactersWithSpaces>1686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lenovo</cp:lastModifiedBy>
  <cp:lastPrinted>2015-03-18T03:45:00Z</cp:lastPrinted>
  <dcterms:modified xsi:type="dcterms:W3CDTF">2018-09-18T09:07:11Z</dcterms:modified>
  <dc:title>上海建桥学院教学进度计划表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