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b/>
          <w:sz w:val="28"/>
          <w:szCs w:val="30"/>
        </w:rPr>
      </w:pPr>
      <w:r>
        <w:rPr>
          <w:b/>
          <w:bCs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ge">
                  <wp:posOffset>502285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8pt;margin-top:39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R+c9B1AAAAAoBAAAPAAAAAAAAAAEAIAAAACIAAABkcnMvZG93bnJl&#10;di54bWxQSwECFAAUAAAACACHTuJAuUZcoToCAABP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【传媒人讲座】</w:t>
      </w:r>
    </w:p>
    <w:p>
      <w:pPr>
        <w:shd w:val="clear" w:color="auto" w:fill="F5F5F5"/>
        <w:spacing w:line="360" w:lineRule="auto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Style w:val="12"/>
          <w:rFonts w:hint="eastAsia"/>
          <w:sz w:val="28"/>
          <w:szCs w:val="28"/>
        </w:rPr>
        <w:t>Lecture  of  Media Worker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360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b/>
          <w:bCs/>
          <w:sz w:val="20"/>
          <w:szCs w:val="20"/>
        </w:rPr>
        <w:t>课程代码：</w:t>
      </w:r>
      <w:r>
        <w:rPr>
          <w:sz w:val="20"/>
          <w:szCs w:val="20"/>
        </w:rPr>
        <w:t>【2030281】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传播学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专业课】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新闻传播学院传播学系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使用教材：</w:t>
      </w:r>
      <w:r>
        <w:rPr>
          <w:rFonts w:hint="eastAsia"/>
          <w:color w:val="000000"/>
          <w:sz w:val="20"/>
          <w:szCs w:val="20"/>
        </w:rPr>
        <w:t>自编</w:t>
      </w:r>
    </w:p>
    <w:p>
      <w:pPr>
        <w:snapToGrid w:val="0"/>
        <w:spacing w:line="288" w:lineRule="auto"/>
        <w:ind w:left="1696" w:leftChars="379" w:hanging="900" w:hangingChars="4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参考书目【中国卓越传媒人才培养的探索与实践，彭少健，中国传媒大学出版社2015年版】</w:t>
      </w:r>
    </w:p>
    <w:p>
      <w:pPr>
        <w:snapToGrid w:val="0"/>
        <w:spacing w:line="288" w:lineRule="auto"/>
        <w:ind w:left="1197" w:leftChars="570"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【媒体融合背景下媒体人转型研究，蒋旭灿，浙江大学出版社2017年版】</w:t>
      </w:r>
    </w:p>
    <w:p>
      <w:pPr>
        <w:snapToGrid w:val="0"/>
        <w:spacing w:line="288" w:lineRule="auto"/>
        <w:ind w:left="1195" w:leftChars="188" w:hanging="800" w:hangingChars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【光与热：新一代媒体人不可不知的新闻法则，华莱士，中国人民大学出版社2017年版】</w:t>
      </w:r>
    </w:p>
    <w:p>
      <w:pPr>
        <w:snapToGrid w:val="0"/>
        <w:spacing w:line="288" w:lineRule="auto"/>
        <w:ind w:firstLine="400" w:firstLineChars="199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https://elearning.gench.edu.cn:8</w:t>
      </w:r>
      <w:r>
        <w:rPr>
          <w:rFonts w:hint="eastAsia"/>
          <w:color w:val="000000"/>
          <w:sz w:val="20"/>
          <w:szCs w:val="20"/>
        </w:rPr>
        <w:t>56</w:t>
      </w:r>
      <w:r>
        <w:rPr>
          <w:color w:val="000000"/>
          <w:sz w:val="20"/>
          <w:szCs w:val="20"/>
        </w:rPr>
        <w:t>3/webapps/bb-group-mgmt-LEARN/execute/groupInventoryList?course_id=_14</w:t>
      </w:r>
      <w:r>
        <w:rPr>
          <w:rFonts w:hint="eastAsia"/>
          <w:color w:val="000000"/>
          <w:sz w:val="20"/>
          <w:szCs w:val="20"/>
        </w:rPr>
        <w:t>739</w:t>
      </w:r>
      <w:r>
        <w:rPr>
          <w:color w:val="000000"/>
          <w:sz w:val="20"/>
          <w:szCs w:val="20"/>
        </w:rPr>
        <w:t>_1&amp;mode=cpview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传播学概论</w:t>
      </w:r>
      <w:r>
        <w:rPr>
          <w:color w:val="000000"/>
          <w:sz w:val="20"/>
          <w:szCs w:val="20"/>
        </w:rPr>
        <w:t>2030302</w:t>
      </w:r>
      <w:r>
        <w:rPr>
          <w:rFonts w:hint="eastAsia"/>
          <w:color w:val="000000"/>
          <w:sz w:val="20"/>
          <w:szCs w:val="20"/>
        </w:rPr>
        <w:t>（4）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360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pacing w:line="288" w:lineRule="auto"/>
        <w:ind w:firstLine="42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传媒人讲座》是传播学的专业课，课程邀请来自上海大众传播领域的业界嘉宾，为学生进行新媒体运营、新闻采访与写作、视频节目摄制与发行、影视制片管理等方面的介绍。本课程的目的是拓宽学生视野，培养学生能够按照当前媒体环境，规范、准确、熟练地进行大众传播领域内容的制作与营销。</w:t>
      </w:r>
    </w:p>
    <w:p>
      <w:pPr>
        <w:widowControl/>
        <w:spacing w:before="156" w:beforeLines="50" w:after="156" w:afterLines="50" w:line="360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pacing w:line="288" w:lineRule="auto"/>
        <w:ind w:firstLine="4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本课程适合传播学专业</w:t>
      </w:r>
      <w:r>
        <w:rPr>
          <w:rFonts w:hint="eastAsia"/>
          <w:color w:val="000000"/>
          <w:sz w:val="20"/>
          <w:szCs w:val="20"/>
        </w:rPr>
        <w:t>四</w:t>
      </w:r>
      <w:r>
        <w:rPr>
          <w:color w:val="000000"/>
          <w:sz w:val="20"/>
          <w:szCs w:val="20"/>
        </w:rPr>
        <w:t>年级学生学习。</w:t>
      </w:r>
    </w:p>
    <w:p>
      <w:pPr>
        <w:widowControl/>
        <w:numPr>
          <w:ilvl w:val="0"/>
          <w:numId w:val="1"/>
        </w:numPr>
        <w:spacing w:before="156" w:beforeLines="50" w:after="156" w:afterLines="50" w:line="360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11"/>
        <w:tblpPr w:leftFromText="180" w:rightFromText="180" w:vertAnchor="text" w:horzAnchor="page" w:tblpX="1916" w:tblpY="242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spacing w:line="360" w:lineRule="auto"/>
              <w:jc w:val="center"/>
              <w:rPr>
                <w:rFonts w:eastAsia="黑体"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eastAsia="黑体" w:asciiTheme="majorBidi" w:hAnsiTheme="majorBidi" w:cstheme="majorBidi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eastAsia="黑体" w:asciiTheme="majorBidi" w:hAnsiTheme="majorBidi" w:cstheme="majorBidi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spacing w:line="360" w:lineRule="auto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LO31：</w:t>
            </w:r>
            <w:r>
              <w:rPr>
                <w:rFonts w:asciiTheme="majorBidi" w:hAnsiTheme="majorBidi" w:cstheme="majorBidi"/>
                <w:bCs/>
                <w:color w:val="000000"/>
                <w:kern w:val="0"/>
                <w:sz w:val="20"/>
                <w:szCs w:val="20"/>
              </w:rPr>
              <w:t>传播理论：掌握传播学的核心理论、基本知识。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LO32：</w:t>
            </w:r>
            <w:r>
              <w:rPr>
                <w:rFonts w:asciiTheme="majorBidi" w:hAnsiTheme="majorBidi" w:cstheme="majorBidi"/>
                <w:bCs/>
                <w:color w:val="000000"/>
                <w:kern w:val="0"/>
                <w:sz w:val="20"/>
                <w:szCs w:val="20"/>
              </w:rPr>
              <w:t>视频制作：掌握视频内容的策划、拍摄、后期制作，具备传播视觉化信息的基本能力。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LO33：</w:t>
            </w:r>
            <w:r>
              <w:rPr>
                <w:rFonts w:asciiTheme="majorBidi" w:hAnsiTheme="majorBidi" w:cstheme="majorBidi"/>
                <w:bCs/>
                <w:color w:val="000000"/>
                <w:kern w:val="0"/>
                <w:sz w:val="20"/>
                <w:szCs w:val="20"/>
              </w:rPr>
              <w:t>文本写作：根据不同传播渠道的规范要求，具备基本的文本写作能力。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LO34：</w:t>
            </w:r>
            <w:r>
              <w:rPr>
                <w:rFonts w:asciiTheme="majorBidi" w:hAnsiTheme="majorBidi" w:cstheme="majorBidi"/>
                <w:bCs/>
                <w:color w:val="000000"/>
                <w:kern w:val="0"/>
                <w:sz w:val="20"/>
                <w:szCs w:val="20"/>
              </w:rPr>
              <w:t>新媒体运营：掌握互联网和移动互联网各类媒体工具的使用，具备新媒体的日常运营能力。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LO35：</w:t>
            </w:r>
            <w:r>
              <w:rPr>
                <w:rFonts w:asciiTheme="majorBidi" w:hAnsiTheme="majorBidi" w:cstheme="majorBidi"/>
                <w:bCs/>
                <w:color w:val="000000"/>
                <w:kern w:val="0"/>
                <w:sz w:val="20"/>
                <w:szCs w:val="20"/>
              </w:rPr>
              <w:t>人文素养：对文学、绘画、影视、音乐、戏剧等文化艺术具有基本的鉴赏能力，体现出媒介内容制作的质量和品位。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479" w:type="dxa"/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LO61：具备一定的信息素养，并能在工作中应用信息技术解决问题。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>愿意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服务他人、服务企业、服务社会；为人热忱，富于爱心，懂得感恩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LO81：具有基本的外语表达沟通能力与跨文化理解能力，有国际竞争与合作的意识。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360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360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10"/>
        <w:tblW w:w="855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977"/>
        <w:gridCol w:w="1842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（细化的预期学习成果）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60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LO111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能够倾听并准确理解</w:t>
            </w: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传媒人应该具备的职业素养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传媒业界人士</w:t>
            </w:r>
            <w:r>
              <w:rPr>
                <w:rFonts w:cs="Times New Roman"/>
                <w:szCs w:val="21"/>
              </w:rPr>
              <w:t>进课堂</w:t>
            </w:r>
            <w:r>
              <w:rPr>
                <w:rFonts w:hint="eastAsia" w:cs="Times New Roman"/>
                <w:szCs w:val="21"/>
              </w:rPr>
              <w:t>进行介绍</w:t>
            </w:r>
            <w:r>
              <w:rPr>
                <w:rFonts w:cs="Times New Roman"/>
                <w:szCs w:val="21"/>
              </w:rPr>
              <w:t>，师生交流与沟通</w:t>
            </w:r>
          </w:p>
        </w:tc>
        <w:tc>
          <w:tcPr>
            <w:tcW w:w="1607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个人项目报告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LO211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LO33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借鉴</w:t>
            </w:r>
            <w:r>
              <w:rPr>
                <w:rFonts w:hint="eastAsia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大众传播领域优秀案例，并对相关问题进行探讨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课堂上讲授交流</w:t>
            </w:r>
          </w:p>
        </w:tc>
        <w:tc>
          <w:tcPr>
            <w:tcW w:w="1607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小论文</w:t>
            </w:r>
          </w:p>
        </w:tc>
      </w:tr>
    </w:tbl>
    <w:p>
      <w:pPr>
        <w:widowControl/>
        <w:spacing w:before="156" w:beforeLines="50" w:after="156" w:afterLines="50" w:line="360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360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单元</w:t>
            </w:r>
          </w:p>
        </w:tc>
        <w:tc>
          <w:tcPr>
            <w:tcW w:w="7563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内容（每单元4课时，集中授课</w:t>
            </w:r>
            <w:r>
              <w:rPr>
                <w:rFonts w:hint="eastAsia" w:cs="Times New Roman"/>
                <w:szCs w:val="21"/>
              </w:rPr>
              <w:t>。第4周</w:t>
            </w:r>
            <w:r>
              <w:rPr>
                <w:rFonts w:hint="eastAsia" w:eastAsia="宋体"/>
                <w:szCs w:val="21"/>
              </w:rPr>
              <w:t>学校召开招聘洽谈会，毕业班全体停课</w:t>
            </w:r>
            <w:r>
              <w:rPr>
                <w:rFonts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1</w:t>
            </w:r>
          </w:p>
        </w:tc>
        <w:tc>
          <w:tcPr>
            <w:tcW w:w="7563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体育新闻的采访与写作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2</w:t>
            </w:r>
          </w:p>
        </w:tc>
        <w:tc>
          <w:tcPr>
            <w:tcW w:w="7563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微信公众号运营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3</w:t>
            </w:r>
          </w:p>
        </w:tc>
        <w:tc>
          <w:tcPr>
            <w:tcW w:w="7563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短视频的摄制与营销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4</w:t>
            </w:r>
          </w:p>
        </w:tc>
        <w:tc>
          <w:tcPr>
            <w:tcW w:w="7563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习近平新闻思想的时代意义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5</w:t>
            </w:r>
          </w:p>
        </w:tc>
        <w:tc>
          <w:tcPr>
            <w:tcW w:w="7563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无人机的管控研究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6</w:t>
            </w:r>
          </w:p>
        </w:tc>
        <w:tc>
          <w:tcPr>
            <w:tcW w:w="7563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影视广告制作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7</w:t>
            </w:r>
          </w:p>
        </w:tc>
        <w:tc>
          <w:tcPr>
            <w:tcW w:w="7563" w:type="dxa"/>
            <w:vAlign w:val="center"/>
          </w:tcPr>
          <w:p>
            <w:pPr>
              <w:snapToGrid w:val="0"/>
              <w:spacing w:line="360" w:lineRule="auto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传媒人媒介素养探析</w:t>
            </w:r>
          </w:p>
        </w:tc>
      </w:tr>
    </w:tbl>
    <w:p>
      <w:pPr>
        <w:snapToGrid w:val="0"/>
        <w:spacing w:line="360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widowControl/>
        <w:spacing w:before="156" w:beforeLines="50" w:after="156" w:afterLines="50" w:line="360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七、评价方式与成绩</w:t>
      </w:r>
    </w:p>
    <w:tbl>
      <w:tblPr>
        <w:tblStyle w:val="10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81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1"/>
              </w:rPr>
              <w:t>总评构成（X）</w:t>
            </w:r>
          </w:p>
        </w:tc>
        <w:tc>
          <w:tcPr>
            <w:tcW w:w="4819" w:type="dxa"/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1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1"/>
              </w:rPr>
              <w:t>X1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hint="eastAsia" w:asciiTheme="majorBidi" w:hAnsiTheme="majorBidi" w:cstheme="majorBidi"/>
                <w:bCs/>
                <w:color w:val="000000"/>
                <w:szCs w:val="21"/>
              </w:rPr>
              <w:t>课堂表现，包括出勤率、课堂互动等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hint="eastAsia" w:asciiTheme="majorBidi" w:hAnsiTheme="majorBidi" w:cstheme="majorBidi"/>
                <w:bCs/>
                <w:color w:val="000000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1"/>
              </w:rPr>
              <w:t>X2</w:t>
            </w:r>
          </w:p>
        </w:tc>
        <w:tc>
          <w:tcPr>
            <w:tcW w:w="481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hint="eastAsia" w:asciiTheme="majorBidi" w:hAnsiTheme="majorBidi" w:cstheme="majorBidi"/>
                <w:bCs/>
                <w:color w:val="000000"/>
                <w:szCs w:val="21"/>
              </w:rPr>
              <w:t>个人项目报告：</w:t>
            </w:r>
          </w:p>
          <w:p>
            <w:pPr>
              <w:snapToGrid w:val="0"/>
              <w:spacing w:line="288" w:lineRule="auto"/>
              <w:ind w:firstLine="420" w:firstLineChars="200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hint="eastAsia" w:asciiTheme="majorBidi" w:hAnsiTheme="majorBidi" w:cstheme="majorBidi"/>
                <w:bCs/>
                <w:color w:val="000000"/>
                <w:szCs w:val="21"/>
              </w:rPr>
              <w:t>采访3位媒体从业者，了解他们对媒体人媒介素养的看法，结合采访与个人体会，形成一篇800字的报告。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hint="eastAsia" w:asciiTheme="majorBidi" w:hAnsiTheme="majorBidi" w:cstheme="majorBidi"/>
                <w:bCs/>
                <w:color w:val="000000"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hint="eastAsia" w:asciiTheme="majorBidi" w:hAnsiTheme="majorBidi" w:cstheme="majorBidi"/>
                <w:bCs/>
                <w:color w:val="000000"/>
                <w:szCs w:val="21"/>
              </w:rPr>
              <w:t>X3</w:t>
            </w:r>
          </w:p>
        </w:tc>
        <w:tc>
          <w:tcPr>
            <w:tcW w:w="481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hint="eastAsia" w:asciiTheme="majorBidi" w:hAnsiTheme="majorBidi" w:cstheme="majorBidi"/>
                <w:bCs/>
                <w:color w:val="000000"/>
                <w:szCs w:val="21"/>
              </w:rPr>
              <w:t>小论文：</w:t>
            </w:r>
          </w:p>
          <w:p>
            <w:pPr>
              <w:snapToGrid w:val="0"/>
              <w:spacing w:line="288" w:lineRule="auto"/>
              <w:ind w:firstLine="420" w:firstLineChars="200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hint="eastAsia" w:asciiTheme="majorBidi" w:hAnsiTheme="majorBidi" w:cstheme="majorBidi"/>
                <w:bCs/>
                <w:color w:val="000000"/>
                <w:szCs w:val="21"/>
              </w:rPr>
              <w:t>任选一项讲座主题，围绕该主题，结合自身的实习体会，谈谈对该领域的看法，形成一篇1000字的小论文。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1"/>
              </w:rPr>
            </w:pPr>
            <w:r>
              <w:rPr>
                <w:rFonts w:hint="eastAsia" w:asciiTheme="majorBidi" w:hAnsiTheme="majorBidi" w:cstheme="majorBidi"/>
                <w:bCs/>
                <w:color w:val="000000"/>
                <w:szCs w:val="21"/>
              </w:rPr>
              <w:t>45%</w:t>
            </w:r>
          </w:p>
        </w:tc>
      </w:tr>
    </w:tbl>
    <w:p>
      <w:pPr>
        <w:snapToGrid w:val="0"/>
        <w:spacing w:before="120" w:after="120" w:line="360" w:lineRule="auto"/>
        <w:rPr>
          <w:rFonts w:ascii="宋体" w:hAnsi="宋体"/>
          <w:sz w:val="20"/>
          <w:szCs w:val="20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720" w:firstLineChars="30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撰写人：丁荣                     系主任审核签名：</w:t>
      </w:r>
      <w:r>
        <w:rPr>
          <w:rFonts w:hint="eastAsia"/>
          <w:sz w:val="24"/>
          <w:lang w:val="en-US" w:eastAsia="zh-CN"/>
        </w:rPr>
        <w:t>沈慧萍</w:t>
      </w:r>
    </w:p>
    <w:p>
      <w:pPr>
        <w:spacing w:line="360" w:lineRule="auto"/>
        <w:ind w:firstLine="720" w:firstLineChars="30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审核时间：</w:t>
      </w:r>
      <w:r>
        <w:rPr>
          <w:rFonts w:hint="eastAsia"/>
          <w:sz w:val="24"/>
          <w:lang w:val="en-US" w:eastAsia="zh-CN"/>
        </w:rPr>
        <w:t>201809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6E4A"/>
    <w:multiLevelType w:val="singleLevel"/>
    <w:tmpl w:val="58BF6E4A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C68E4"/>
    <w:rsid w:val="0004040E"/>
    <w:rsid w:val="00043AD9"/>
    <w:rsid w:val="000943CF"/>
    <w:rsid w:val="000B1201"/>
    <w:rsid w:val="000B19B3"/>
    <w:rsid w:val="000C5FEC"/>
    <w:rsid w:val="000F24C2"/>
    <w:rsid w:val="00124384"/>
    <w:rsid w:val="00164ABA"/>
    <w:rsid w:val="00197E2A"/>
    <w:rsid w:val="001B4538"/>
    <w:rsid w:val="001F1E5E"/>
    <w:rsid w:val="00240971"/>
    <w:rsid w:val="00251064"/>
    <w:rsid w:val="002D3D88"/>
    <w:rsid w:val="00377D28"/>
    <w:rsid w:val="00382448"/>
    <w:rsid w:val="0039741F"/>
    <w:rsid w:val="003F0E9D"/>
    <w:rsid w:val="0042235E"/>
    <w:rsid w:val="0043240C"/>
    <w:rsid w:val="00444C0E"/>
    <w:rsid w:val="00480E07"/>
    <w:rsid w:val="00497B43"/>
    <w:rsid w:val="004C01C8"/>
    <w:rsid w:val="004E3B85"/>
    <w:rsid w:val="005054DA"/>
    <w:rsid w:val="00507820"/>
    <w:rsid w:val="00527FD6"/>
    <w:rsid w:val="005563C4"/>
    <w:rsid w:val="005755C6"/>
    <w:rsid w:val="005F46BB"/>
    <w:rsid w:val="0069473D"/>
    <w:rsid w:val="006A768D"/>
    <w:rsid w:val="006C7A99"/>
    <w:rsid w:val="0073545A"/>
    <w:rsid w:val="00774759"/>
    <w:rsid w:val="007775ED"/>
    <w:rsid w:val="00786183"/>
    <w:rsid w:val="007A7FE7"/>
    <w:rsid w:val="007D68EA"/>
    <w:rsid w:val="00824CFC"/>
    <w:rsid w:val="0087203B"/>
    <w:rsid w:val="00883208"/>
    <w:rsid w:val="008C208B"/>
    <w:rsid w:val="008D6A42"/>
    <w:rsid w:val="00924E40"/>
    <w:rsid w:val="00975BD6"/>
    <w:rsid w:val="00992647"/>
    <w:rsid w:val="009C2FDD"/>
    <w:rsid w:val="009D774B"/>
    <w:rsid w:val="009F790A"/>
    <w:rsid w:val="00A23F0C"/>
    <w:rsid w:val="00A35DE6"/>
    <w:rsid w:val="00A62965"/>
    <w:rsid w:val="00A657B9"/>
    <w:rsid w:val="00A8748A"/>
    <w:rsid w:val="00A917C7"/>
    <w:rsid w:val="00AD6C25"/>
    <w:rsid w:val="00B470F9"/>
    <w:rsid w:val="00BD4A65"/>
    <w:rsid w:val="00C26162"/>
    <w:rsid w:val="00C36667"/>
    <w:rsid w:val="00C547A8"/>
    <w:rsid w:val="00CE3F98"/>
    <w:rsid w:val="00D5604A"/>
    <w:rsid w:val="00D648B0"/>
    <w:rsid w:val="00DD71E7"/>
    <w:rsid w:val="00DF0009"/>
    <w:rsid w:val="00E17321"/>
    <w:rsid w:val="00E33E2B"/>
    <w:rsid w:val="00E35CFF"/>
    <w:rsid w:val="00E533E3"/>
    <w:rsid w:val="00E941F9"/>
    <w:rsid w:val="00ED32BA"/>
    <w:rsid w:val="00F5217F"/>
    <w:rsid w:val="00F54440"/>
    <w:rsid w:val="00F9639D"/>
    <w:rsid w:val="00FE76F9"/>
    <w:rsid w:val="00FF46CD"/>
    <w:rsid w:val="091D1927"/>
    <w:rsid w:val="09470CF8"/>
    <w:rsid w:val="0E607AC2"/>
    <w:rsid w:val="12AA69C1"/>
    <w:rsid w:val="13AD38FA"/>
    <w:rsid w:val="1DF4631D"/>
    <w:rsid w:val="2279565E"/>
    <w:rsid w:val="278B1812"/>
    <w:rsid w:val="28DC0195"/>
    <w:rsid w:val="3D657475"/>
    <w:rsid w:val="42EF48CB"/>
    <w:rsid w:val="4BCF50D8"/>
    <w:rsid w:val="51071D1A"/>
    <w:rsid w:val="59E8308D"/>
    <w:rsid w:val="631324CC"/>
    <w:rsid w:val="69C3323F"/>
    <w:rsid w:val="6ADC68E4"/>
    <w:rsid w:val="700F6A2F"/>
    <w:rsid w:val="75E701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3 Char"/>
    <w:basedOn w:val="7"/>
    <w:link w:val="2"/>
    <w:qFormat/>
    <w:uiPriority w:val="0"/>
    <w:rPr>
      <w:b/>
      <w:bCs/>
      <w:sz w:val="32"/>
      <w:szCs w:val="32"/>
    </w:rPr>
  </w:style>
  <w:style w:type="character" w:customStyle="1" w:styleId="13">
    <w:name w:val="页眉 Char"/>
    <w:basedOn w:val="7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5"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7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250</Words>
  <Characters>1430</Characters>
  <Lines>11</Lines>
  <Paragraphs>3</Paragraphs>
  <TotalTime>30</TotalTime>
  <ScaleCrop>false</ScaleCrop>
  <LinksUpToDate>false</LinksUpToDate>
  <CharactersWithSpaces>1677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2018-09-29T05:23:00Z</dcterms:created>
  <dc:creator>chenjie7y7</dc:creator>
  <cp:lastModifiedBy>111111</cp:lastModifiedBy>
  <dcterms:modified xsi:type="dcterms:W3CDTF">2018-10-08T09:27:33Z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